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6572"/>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581904">
        <w:trPr>
          <w:trHeight w:val="525"/>
        </w:trPr>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shd w:val="clear" w:color="auto" w:fill="auto"/>
          </w:tcPr>
          <w:p w:rsidR="00416C6F" w:rsidRPr="0053196F" w:rsidRDefault="00581904" w:rsidP="00707C88">
            <w:pPr>
              <w:rPr>
                <w:sz w:val="24"/>
                <w:szCs w:val="24"/>
              </w:rPr>
            </w:pPr>
            <w:r>
              <w:rPr>
                <w:sz w:val="24"/>
                <w:szCs w:val="24"/>
              </w:rPr>
              <w:t xml:space="preserve">Site. 3 Land to the west of </w:t>
            </w:r>
            <w:proofErr w:type="spellStart"/>
            <w:r>
              <w:rPr>
                <w:sz w:val="24"/>
                <w:szCs w:val="24"/>
              </w:rPr>
              <w:t>Forewood</w:t>
            </w:r>
            <w:proofErr w:type="spellEnd"/>
            <w:r>
              <w:rPr>
                <w:sz w:val="24"/>
                <w:szCs w:val="24"/>
              </w:rPr>
              <w:t xml:space="preserve"> Rise</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72" w:type="dxa"/>
            <w:shd w:val="clear" w:color="auto" w:fill="auto"/>
          </w:tcPr>
          <w:p w:rsidR="00416C6F" w:rsidRPr="0053196F" w:rsidRDefault="00705E06" w:rsidP="00707C88">
            <w:pPr>
              <w:rPr>
                <w:sz w:val="24"/>
                <w:szCs w:val="24"/>
              </w:rPr>
            </w:pPr>
            <w:r>
              <w:rPr>
                <w:sz w:val="24"/>
                <w:szCs w:val="24"/>
              </w:rPr>
              <w:t>1.4ha</w:t>
            </w:r>
          </w:p>
        </w:tc>
      </w:tr>
      <w:tr w:rsidR="00416C6F" w:rsidRPr="0053196F" w:rsidTr="00D963ED">
        <w:trPr>
          <w:trHeight w:val="367"/>
        </w:trPr>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707C88">
            <w:pPr>
              <w:rPr>
                <w:sz w:val="24"/>
                <w:szCs w:val="24"/>
              </w:rPr>
            </w:pPr>
            <w:r>
              <w:rPr>
                <w:sz w:val="24"/>
                <w:szCs w:val="24"/>
              </w:rPr>
              <w:t>Agricultural</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707C88">
            <w:pPr>
              <w:rPr>
                <w:sz w:val="24"/>
                <w:szCs w:val="24"/>
              </w:rPr>
            </w:pPr>
            <w:r>
              <w:rPr>
                <w:sz w:val="24"/>
                <w:szCs w:val="24"/>
              </w:rPr>
              <w:t>Housing</w:t>
            </w:r>
          </w:p>
        </w:tc>
      </w:tr>
      <w:tr w:rsidR="00416C6F" w:rsidRPr="0053196F" w:rsidTr="00D963ED">
        <w:trPr>
          <w:trHeight w:val="878"/>
        </w:trPr>
        <w:tc>
          <w:tcPr>
            <w:tcW w:w="2444"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72" w:type="dxa"/>
            <w:shd w:val="clear" w:color="auto" w:fill="auto"/>
          </w:tcPr>
          <w:p w:rsidR="00416C6F" w:rsidRPr="0053196F" w:rsidRDefault="003819D3" w:rsidP="00707C88">
            <w:pPr>
              <w:rPr>
                <w:sz w:val="24"/>
                <w:szCs w:val="24"/>
              </w:rPr>
            </w:pPr>
            <w:r>
              <w:rPr>
                <w:sz w:val="24"/>
                <w:szCs w:val="24"/>
              </w:rPr>
              <w:t>Owner promotion</w:t>
            </w:r>
          </w:p>
        </w:tc>
      </w:tr>
      <w:tr w:rsidR="00416C6F" w:rsidRPr="0053196F" w:rsidTr="00D963ED">
        <w:trPr>
          <w:trHeight w:val="976"/>
        </w:trPr>
        <w:tc>
          <w:tcPr>
            <w:tcW w:w="2444" w:type="dxa"/>
            <w:shd w:val="clear" w:color="auto" w:fill="56008C"/>
          </w:tcPr>
          <w:p w:rsidR="00416C6F" w:rsidRDefault="00D963ED" w:rsidP="00707C88">
            <w:pPr>
              <w:rPr>
                <w:color w:val="FFFFFF"/>
                <w:sz w:val="24"/>
                <w:szCs w:val="24"/>
              </w:rPr>
            </w:pPr>
            <w:r>
              <w:rPr>
                <w:color w:val="FFFFFF"/>
                <w:sz w:val="24"/>
                <w:szCs w:val="24"/>
              </w:rPr>
              <w:t>Designations</w:t>
            </w:r>
          </w:p>
        </w:tc>
        <w:tc>
          <w:tcPr>
            <w:tcW w:w="6572" w:type="dxa"/>
            <w:shd w:val="clear" w:color="auto" w:fill="auto"/>
          </w:tcPr>
          <w:p w:rsidR="00D963ED" w:rsidRDefault="003819D3" w:rsidP="00707C88">
            <w:pPr>
              <w:rPr>
                <w:sz w:val="24"/>
                <w:szCs w:val="24"/>
              </w:rPr>
            </w:pPr>
            <w:r>
              <w:rPr>
                <w:sz w:val="24"/>
                <w:szCs w:val="24"/>
              </w:rPr>
              <w:t>High Weald AONB</w:t>
            </w:r>
          </w:p>
          <w:p w:rsidR="00D963ED" w:rsidRDefault="00D963ED" w:rsidP="003819D3">
            <w:pPr>
              <w:rPr>
                <w:sz w:val="24"/>
                <w:szCs w:val="24"/>
              </w:rPr>
            </w:pPr>
          </w:p>
          <w:p w:rsidR="003819D3" w:rsidRPr="003819D3" w:rsidRDefault="00925C09" w:rsidP="003819D3">
            <w:pPr>
              <w:rPr>
                <w:sz w:val="24"/>
                <w:szCs w:val="24"/>
              </w:rPr>
            </w:pPr>
            <w:r>
              <w:rPr>
                <w:sz w:val="24"/>
                <w:szCs w:val="24"/>
              </w:rPr>
              <w:t>Adjoins</w:t>
            </w:r>
            <w:r w:rsidR="003819D3">
              <w:rPr>
                <w:sz w:val="24"/>
                <w:szCs w:val="24"/>
              </w:rPr>
              <w:t xml:space="preserve"> </w:t>
            </w:r>
            <w:proofErr w:type="spellStart"/>
            <w:r w:rsidR="003819D3">
              <w:rPr>
                <w:sz w:val="24"/>
                <w:szCs w:val="24"/>
              </w:rPr>
              <w:t>Forewood</w:t>
            </w:r>
            <w:proofErr w:type="spellEnd"/>
            <w:r w:rsidR="003819D3">
              <w:rPr>
                <w:sz w:val="24"/>
                <w:szCs w:val="24"/>
              </w:rPr>
              <w:t xml:space="preserve"> SSSI </w:t>
            </w:r>
          </w:p>
        </w:tc>
      </w:tr>
      <w:tr w:rsidR="00416C6F" w:rsidRPr="0053196F" w:rsidTr="00D963ED">
        <w:tc>
          <w:tcPr>
            <w:tcW w:w="2444"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tc>
        <w:tc>
          <w:tcPr>
            <w:tcW w:w="6572" w:type="dxa"/>
            <w:shd w:val="clear" w:color="auto" w:fill="auto"/>
          </w:tcPr>
          <w:p w:rsidR="00416C6F" w:rsidRPr="0053196F" w:rsidRDefault="003819D3" w:rsidP="00707C88">
            <w:pPr>
              <w:rPr>
                <w:sz w:val="24"/>
                <w:szCs w:val="24"/>
              </w:rPr>
            </w:pPr>
            <w:r>
              <w:rPr>
                <w:sz w:val="24"/>
                <w:szCs w:val="24"/>
              </w:rPr>
              <w:t xml:space="preserve">Land rear of 11 and 13 </w:t>
            </w:r>
            <w:proofErr w:type="spellStart"/>
            <w:r>
              <w:rPr>
                <w:sz w:val="24"/>
                <w:szCs w:val="24"/>
              </w:rPr>
              <w:t>Forewood</w:t>
            </w:r>
            <w:proofErr w:type="spellEnd"/>
            <w:r>
              <w:rPr>
                <w:sz w:val="24"/>
                <w:szCs w:val="24"/>
              </w:rPr>
              <w:t xml:space="preserve"> – 3 dwellings</w:t>
            </w:r>
          </w:p>
        </w:tc>
      </w:tr>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D963ED">
        <w:trPr>
          <w:trHeight w:val="719"/>
        </w:trPr>
        <w:tc>
          <w:tcPr>
            <w:tcW w:w="2444"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72" w:type="dxa"/>
            <w:shd w:val="clear" w:color="auto" w:fill="auto"/>
          </w:tcPr>
          <w:p w:rsidR="00416C6F" w:rsidRPr="0053196F" w:rsidRDefault="009706DE" w:rsidP="00581904">
            <w:pPr>
              <w:rPr>
                <w:sz w:val="24"/>
                <w:szCs w:val="24"/>
              </w:rPr>
            </w:pPr>
            <w:r>
              <w:rPr>
                <w:sz w:val="24"/>
                <w:szCs w:val="24"/>
              </w:rPr>
              <w:t xml:space="preserve">High Weald AONB. </w:t>
            </w:r>
            <w:r w:rsidR="00925C09">
              <w:rPr>
                <w:sz w:val="24"/>
                <w:szCs w:val="24"/>
              </w:rPr>
              <w:t>Land rises to north and relatively open from south</w:t>
            </w:r>
            <w:r w:rsidR="00581904">
              <w:rPr>
                <w:sz w:val="24"/>
                <w:szCs w:val="24"/>
              </w:rPr>
              <w:t>. Cul-de-sac development pattern to the east and enclosed by woodland to the north. However, land sits at a higher level and f</w:t>
            </w:r>
            <w:r w:rsidR="00925C09">
              <w:rPr>
                <w:sz w:val="24"/>
                <w:szCs w:val="24"/>
              </w:rPr>
              <w:t>alls to south/south east</w:t>
            </w:r>
            <w:r w:rsidR="00581904">
              <w:rPr>
                <w:sz w:val="24"/>
                <w:szCs w:val="24"/>
              </w:rPr>
              <w:t xml:space="preserve"> which makes development more visible from footpaths.</w:t>
            </w:r>
            <w:r w:rsidR="00705E06">
              <w:rPr>
                <w:sz w:val="24"/>
                <w:szCs w:val="24"/>
              </w:rPr>
              <w:t xml:space="preserve"> Opportunity to continue the s</w:t>
            </w:r>
            <w:r w:rsidR="00581904">
              <w:rPr>
                <w:sz w:val="24"/>
                <w:szCs w:val="24"/>
              </w:rPr>
              <w:t>ettlement</w:t>
            </w:r>
            <w:r w:rsidR="00705E06">
              <w:rPr>
                <w:sz w:val="24"/>
                <w:szCs w:val="24"/>
              </w:rPr>
              <w:t xml:space="preserve"> pattern subject to access but would have to be subject to landscape assessment and strategy</w:t>
            </w:r>
            <w:r w:rsidR="00925C09">
              <w:rPr>
                <w:sz w:val="24"/>
                <w:szCs w:val="24"/>
              </w:rPr>
              <w:t xml:space="preserve">. Within Rother landscape area CR1 where it states no capacity for development </w:t>
            </w:r>
          </w:p>
        </w:tc>
      </w:tr>
      <w:tr w:rsidR="00D963ED" w:rsidRPr="0053196F" w:rsidTr="00D963ED">
        <w:trPr>
          <w:trHeight w:val="719"/>
        </w:trPr>
        <w:tc>
          <w:tcPr>
            <w:tcW w:w="2444" w:type="dxa"/>
            <w:shd w:val="clear" w:color="auto" w:fill="56008C"/>
          </w:tcPr>
          <w:p w:rsidR="00D963ED" w:rsidRDefault="00D963ED" w:rsidP="00C76945">
            <w:pPr>
              <w:rPr>
                <w:color w:val="FFFFFF"/>
                <w:sz w:val="24"/>
                <w:szCs w:val="24"/>
              </w:rPr>
            </w:pPr>
            <w:r>
              <w:rPr>
                <w:color w:val="FFFFFF"/>
                <w:sz w:val="24"/>
                <w:szCs w:val="24"/>
              </w:rPr>
              <w:t>Adjacent uses</w:t>
            </w:r>
          </w:p>
        </w:tc>
        <w:tc>
          <w:tcPr>
            <w:tcW w:w="6572" w:type="dxa"/>
            <w:shd w:val="clear" w:color="auto" w:fill="auto"/>
          </w:tcPr>
          <w:p w:rsidR="00D963ED" w:rsidRPr="0053196F" w:rsidRDefault="00925C09" w:rsidP="00581904">
            <w:pPr>
              <w:rPr>
                <w:sz w:val="24"/>
                <w:szCs w:val="24"/>
              </w:rPr>
            </w:pPr>
            <w:r>
              <w:rPr>
                <w:sz w:val="24"/>
                <w:szCs w:val="24"/>
              </w:rPr>
              <w:t xml:space="preserve">Housing at </w:t>
            </w:r>
            <w:proofErr w:type="spellStart"/>
            <w:r>
              <w:rPr>
                <w:sz w:val="24"/>
                <w:szCs w:val="24"/>
              </w:rPr>
              <w:t>Forewood</w:t>
            </w:r>
            <w:proofErr w:type="spellEnd"/>
            <w:r>
              <w:rPr>
                <w:sz w:val="24"/>
                <w:szCs w:val="24"/>
              </w:rPr>
              <w:t xml:space="preserve"> </w:t>
            </w:r>
            <w:r w:rsidR="00581904">
              <w:rPr>
                <w:sz w:val="24"/>
                <w:szCs w:val="24"/>
              </w:rPr>
              <w:t>Rise</w:t>
            </w:r>
            <w:r>
              <w:rPr>
                <w:sz w:val="24"/>
                <w:szCs w:val="24"/>
              </w:rPr>
              <w:t xml:space="preserve"> to the east and agricultural</w:t>
            </w:r>
          </w:p>
        </w:tc>
      </w:tr>
      <w:tr w:rsidR="00C76945" w:rsidRPr="0053196F" w:rsidTr="00D963ED">
        <w:trPr>
          <w:trHeight w:val="710"/>
        </w:trPr>
        <w:tc>
          <w:tcPr>
            <w:tcW w:w="2444"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72" w:type="dxa"/>
            <w:shd w:val="clear" w:color="auto" w:fill="auto"/>
          </w:tcPr>
          <w:p w:rsidR="00C76945" w:rsidRPr="0053196F" w:rsidRDefault="00925C09" w:rsidP="00707C88">
            <w:pPr>
              <w:rPr>
                <w:sz w:val="24"/>
                <w:szCs w:val="24"/>
              </w:rPr>
            </w:pPr>
            <w:r>
              <w:rPr>
                <w:sz w:val="24"/>
                <w:szCs w:val="24"/>
              </w:rPr>
              <w:t xml:space="preserve">Grassland/crops/ hedgerows and trees on boundaries. SSSI </w:t>
            </w:r>
            <w:proofErr w:type="spellStart"/>
            <w:r>
              <w:rPr>
                <w:sz w:val="24"/>
                <w:szCs w:val="24"/>
              </w:rPr>
              <w:t>Forewood</w:t>
            </w:r>
            <w:proofErr w:type="spellEnd"/>
            <w:r>
              <w:rPr>
                <w:sz w:val="24"/>
                <w:szCs w:val="24"/>
              </w:rPr>
              <w:t xml:space="preserve"> to the north boundary</w:t>
            </w:r>
            <w:r w:rsidR="00E27B7F">
              <w:rPr>
                <w:sz w:val="24"/>
                <w:szCs w:val="24"/>
              </w:rPr>
              <w:t xml:space="preserve"> including ancient woodland</w:t>
            </w:r>
          </w:p>
        </w:tc>
      </w:tr>
      <w:tr w:rsidR="00416C6F" w:rsidRPr="0053196F" w:rsidTr="00D963ED">
        <w:trPr>
          <w:trHeight w:val="699"/>
        </w:trPr>
        <w:tc>
          <w:tcPr>
            <w:tcW w:w="2444"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72" w:type="dxa"/>
            <w:shd w:val="clear" w:color="auto" w:fill="auto"/>
          </w:tcPr>
          <w:p w:rsidR="00416C6F" w:rsidRDefault="00925C09" w:rsidP="00707C88">
            <w:pPr>
              <w:rPr>
                <w:sz w:val="24"/>
                <w:szCs w:val="24"/>
              </w:rPr>
            </w:pPr>
            <w:r>
              <w:rPr>
                <w:sz w:val="24"/>
                <w:szCs w:val="24"/>
              </w:rPr>
              <w:t xml:space="preserve">Access would only be available </w:t>
            </w:r>
            <w:r w:rsidR="00EE7A4C">
              <w:rPr>
                <w:sz w:val="24"/>
                <w:szCs w:val="24"/>
              </w:rPr>
              <w:t xml:space="preserve">through </w:t>
            </w:r>
            <w:r>
              <w:rPr>
                <w:sz w:val="24"/>
                <w:szCs w:val="24"/>
              </w:rPr>
              <w:t xml:space="preserve">third party land either through </w:t>
            </w:r>
            <w:proofErr w:type="spellStart"/>
            <w:r>
              <w:rPr>
                <w:sz w:val="24"/>
                <w:szCs w:val="24"/>
              </w:rPr>
              <w:t>Forewood</w:t>
            </w:r>
            <w:proofErr w:type="spellEnd"/>
            <w:r>
              <w:rPr>
                <w:sz w:val="24"/>
                <w:szCs w:val="24"/>
              </w:rPr>
              <w:t xml:space="preserve"> Rise or via the land to the SE</w:t>
            </w:r>
            <w:r w:rsidR="00581904">
              <w:rPr>
                <w:sz w:val="24"/>
                <w:szCs w:val="24"/>
              </w:rPr>
              <w:t xml:space="preserve"> and thus dependent on third party land</w:t>
            </w:r>
          </w:p>
          <w:p w:rsidR="00925C09" w:rsidRPr="0053196F" w:rsidRDefault="00925C09" w:rsidP="00707C88">
            <w:pPr>
              <w:rPr>
                <w:sz w:val="24"/>
                <w:szCs w:val="24"/>
              </w:rPr>
            </w:pPr>
          </w:p>
        </w:tc>
      </w:tr>
      <w:tr w:rsidR="00416C6F" w:rsidRPr="0053196F" w:rsidTr="00D963ED">
        <w:tc>
          <w:tcPr>
            <w:tcW w:w="2444"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72" w:type="dxa"/>
            <w:shd w:val="clear" w:color="auto" w:fill="auto"/>
          </w:tcPr>
          <w:p w:rsidR="00416C6F" w:rsidRPr="0053196F" w:rsidRDefault="00925C09" w:rsidP="00707C88">
            <w:pPr>
              <w:rPr>
                <w:sz w:val="24"/>
                <w:szCs w:val="24"/>
              </w:rPr>
            </w:pPr>
            <w:r>
              <w:rPr>
                <w:sz w:val="24"/>
                <w:szCs w:val="24"/>
              </w:rPr>
              <w:t>PROW running to the south. Flood Zone 1- low risk of flooding</w:t>
            </w:r>
            <w:r w:rsidR="00581904">
              <w:rPr>
                <w:sz w:val="24"/>
                <w:szCs w:val="24"/>
              </w:rPr>
              <w:t xml:space="preserve">. </w:t>
            </w:r>
            <w:r w:rsidR="00B352B7">
              <w:rPr>
                <w:sz w:val="24"/>
                <w:szCs w:val="24"/>
              </w:rPr>
              <w:t>Provision of SUDS due to prevent surface water flooding</w:t>
            </w:r>
          </w:p>
        </w:tc>
      </w:tr>
      <w:tr w:rsidR="00416C6F" w:rsidRPr="0053196F" w:rsidTr="00D963ED">
        <w:tc>
          <w:tcPr>
            <w:tcW w:w="2444" w:type="dxa"/>
            <w:shd w:val="clear" w:color="auto" w:fill="56008C"/>
          </w:tcPr>
          <w:p w:rsidR="00416C6F" w:rsidRDefault="00416C6F" w:rsidP="00707C88">
            <w:pPr>
              <w:rPr>
                <w:color w:val="FFFFFF"/>
                <w:sz w:val="24"/>
                <w:szCs w:val="24"/>
              </w:rPr>
            </w:pPr>
            <w:r>
              <w:rPr>
                <w:color w:val="FFFFFF"/>
                <w:sz w:val="24"/>
                <w:szCs w:val="24"/>
              </w:rPr>
              <w:t>Distance from the village core</w:t>
            </w:r>
            <w:r w:rsidR="00581904">
              <w:rPr>
                <w:color w:val="FFFFFF"/>
                <w:sz w:val="24"/>
                <w:szCs w:val="24"/>
              </w:rPr>
              <w:t xml:space="preserve"> and the Railway Station</w:t>
            </w:r>
          </w:p>
          <w:p w:rsidR="00D963ED" w:rsidRPr="0053196F" w:rsidRDefault="00D963ED" w:rsidP="00707C88">
            <w:pPr>
              <w:rPr>
                <w:color w:val="FFFFFF"/>
                <w:sz w:val="24"/>
                <w:szCs w:val="24"/>
              </w:rPr>
            </w:pPr>
          </w:p>
        </w:tc>
        <w:tc>
          <w:tcPr>
            <w:tcW w:w="6572" w:type="dxa"/>
            <w:shd w:val="clear" w:color="auto" w:fill="auto"/>
          </w:tcPr>
          <w:p w:rsidR="00416C6F" w:rsidRDefault="00925C09" w:rsidP="00707C88">
            <w:pPr>
              <w:rPr>
                <w:sz w:val="24"/>
                <w:szCs w:val="24"/>
              </w:rPr>
            </w:pPr>
            <w:r>
              <w:rPr>
                <w:sz w:val="24"/>
                <w:szCs w:val="24"/>
              </w:rPr>
              <w:t>Footpath access</w:t>
            </w:r>
            <w:r w:rsidR="00E27B7F">
              <w:rPr>
                <w:sz w:val="24"/>
                <w:szCs w:val="24"/>
              </w:rPr>
              <w:t xml:space="preserve"> to church, school</w:t>
            </w:r>
            <w:r>
              <w:rPr>
                <w:sz w:val="24"/>
                <w:szCs w:val="24"/>
              </w:rPr>
              <w:t xml:space="preserve"> – 320m</w:t>
            </w:r>
          </w:p>
          <w:p w:rsidR="00925C09" w:rsidRDefault="00925C09" w:rsidP="00707C88">
            <w:pPr>
              <w:rPr>
                <w:sz w:val="24"/>
                <w:szCs w:val="24"/>
              </w:rPr>
            </w:pPr>
            <w:r>
              <w:rPr>
                <w:sz w:val="24"/>
                <w:szCs w:val="24"/>
              </w:rPr>
              <w:t>Pub-Recreation ground – 850m via 2 routes</w:t>
            </w:r>
          </w:p>
          <w:p w:rsidR="00581904" w:rsidRPr="0053196F" w:rsidRDefault="00581904" w:rsidP="00707C88">
            <w:pPr>
              <w:rPr>
                <w:sz w:val="24"/>
                <w:szCs w:val="24"/>
              </w:rPr>
            </w:pPr>
            <w:r>
              <w:rPr>
                <w:sz w:val="24"/>
                <w:szCs w:val="24"/>
              </w:rPr>
              <w:t>Distance to Railway Station - 650m to station</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416C6F" w:rsidRPr="0053196F" w:rsidRDefault="00581904" w:rsidP="00581904">
            <w:pPr>
              <w:rPr>
                <w:sz w:val="24"/>
                <w:szCs w:val="24"/>
              </w:rPr>
            </w:pPr>
            <w:r>
              <w:rPr>
                <w:sz w:val="24"/>
                <w:szCs w:val="24"/>
              </w:rPr>
              <w:lastRenderedPageBreak/>
              <w:t>n/a</w:t>
            </w:r>
          </w:p>
        </w:tc>
      </w:tr>
      <w:tr w:rsidR="00416C6F" w:rsidRPr="0053196F" w:rsidTr="00D963ED">
        <w:tc>
          <w:tcPr>
            <w:tcW w:w="2444"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72" w:type="dxa"/>
            <w:tcBorders>
              <w:bottom w:val="single" w:sz="4" w:space="0" w:color="auto"/>
            </w:tcBorders>
            <w:shd w:val="clear" w:color="auto" w:fill="auto"/>
          </w:tcPr>
          <w:p w:rsidR="00416C6F" w:rsidRPr="0053196F" w:rsidRDefault="00E27B7F" w:rsidP="00581904">
            <w:pPr>
              <w:rPr>
                <w:sz w:val="24"/>
                <w:szCs w:val="24"/>
              </w:rPr>
            </w:pPr>
            <w:r>
              <w:rPr>
                <w:sz w:val="24"/>
                <w:szCs w:val="24"/>
              </w:rPr>
              <w:t xml:space="preserve">Site would have to be subject to a comprehensive landscape visual impact assessment and </w:t>
            </w:r>
            <w:r w:rsidR="00581904">
              <w:rPr>
                <w:sz w:val="24"/>
                <w:szCs w:val="24"/>
              </w:rPr>
              <w:t xml:space="preserve">significant </w:t>
            </w:r>
            <w:r>
              <w:rPr>
                <w:sz w:val="24"/>
                <w:szCs w:val="24"/>
              </w:rPr>
              <w:t>landscape strategy and would have to incorporate</w:t>
            </w:r>
            <w:r w:rsidR="00581904">
              <w:rPr>
                <w:sz w:val="24"/>
                <w:szCs w:val="24"/>
              </w:rPr>
              <w:t xml:space="preserve"> heavy planting buffers </w:t>
            </w:r>
            <w:r>
              <w:rPr>
                <w:sz w:val="24"/>
                <w:szCs w:val="24"/>
              </w:rPr>
              <w:t>in respect of ancient woodl</w:t>
            </w:r>
            <w:r w:rsidR="00581904">
              <w:rPr>
                <w:sz w:val="24"/>
                <w:szCs w:val="24"/>
              </w:rPr>
              <w:t>and and SSSI which borders site.</w:t>
            </w:r>
          </w:p>
        </w:tc>
      </w:tr>
      <w:tr w:rsidR="00CD3781" w:rsidRPr="0053196F" w:rsidTr="00D963ED">
        <w:tc>
          <w:tcPr>
            <w:tcW w:w="2444" w:type="dxa"/>
            <w:tcBorders>
              <w:bottom w:val="single" w:sz="4" w:space="0" w:color="auto"/>
            </w:tcBorders>
            <w:shd w:val="clear" w:color="auto" w:fill="56008C"/>
          </w:tcPr>
          <w:p w:rsidR="00CD3781" w:rsidRDefault="00CD3781" w:rsidP="00707C88">
            <w:pPr>
              <w:rPr>
                <w:color w:val="FFFFFF"/>
                <w:sz w:val="24"/>
                <w:szCs w:val="24"/>
              </w:rPr>
            </w:pPr>
            <w:r>
              <w:rPr>
                <w:color w:val="FFFFFF"/>
                <w:sz w:val="24"/>
                <w:szCs w:val="24"/>
              </w:rPr>
              <w:t xml:space="preserve">Availability </w:t>
            </w:r>
          </w:p>
        </w:tc>
        <w:tc>
          <w:tcPr>
            <w:tcW w:w="6572" w:type="dxa"/>
            <w:tcBorders>
              <w:bottom w:val="single" w:sz="4" w:space="0" w:color="auto"/>
            </w:tcBorders>
            <w:shd w:val="clear" w:color="auto" w:fill="auto"/>
          </w:tcPr>
          <w:p w:rsidR="00CD3781" w:rsidRDefault="00CD3781" w:rsidP="00581904">
            <w:pPr>
              <w:rPr>
                <w:sz w:val="24"/>
                <w:szCs w:val="24"/>
              </w:rPr>
            </w:pPr>
            <w:r>
              <w:rPr>
                <w:sz w:val="24"/>
                <w:szCs w:val="24"/>
              </w:rPr>
              <w:t xml:space="preserve">Land promoted by owner </w:t>
            </w:r>
          </w:p>
        </w:tc>
      </w:tr>
      <w:tr w:rsidR="00C76945" w:rsidRPr="00C76945" w:rsidTr="00D963ED">
        <w:trPr>
          <w:trHeight w:val="2034"/>
        </w:trPr>
        <w:tc>
          <w:tcPr>
            <w:tcW w:w="2444"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72" w:type="dxa"/>
            <w:shd w:val="clear" w:color="auto" w:fill="FFFFFF" w:themeFill="background1"/>
          </w:tcPr>
          <w:p w:rsidR="00C76945" w:rsidRPr="00E27B7F" w:rsidRDefault="00E27B7F" w:rsidP="00581904">
            <w:pPr>
              <w:rPr>
                <w:sz w:val="24"/>
                <w:szCs w:val="24"/>
              </w:rPr>
            </w:pPr>
            <w:r>
              <w:rPr>
                <w:sz w:val="24"/>
                <w:szCs w:val="24"/>
              </w:rPr>
              <w:t xml:space="preserve">The site lies adjacent to an existing development pattern </w:t>
            </w:r>
            <w:r w:rsidR="00581904">
              <w:rPr>
                <w:sz w:val="24"/>
                <w:szCs w:val="24"/>
              </w:rPr>
              <w:t xml:space="preserve">and at this time, its access appears dependent on land to the SE or through gardens of </w:t>
            </w:r>
            <w:proofErr w:type="spellStart"/>
            <w:r w:rsidR="00581904">
              <w:rPr>
                <w:sz w:val="24"/>
                <w:szCs w:val="24"/>
              </w:rPr>
              <w:t>Forewood</w:t>
            </w:r>
            <w:proofErr w:type="spellEnd"/>
            <w:r w:rsidR="00581904">
              <w:rPr>
                <w:sz w:val="24"/>
                <w:szCs w:val="24"/>
              </w:rPr>
              <w:t xml:space="preserve"> Rise and therefore its deliverability is uncertain. The site lies within a good distance of village amenities (1km) but is sensitive from a landscape and ecology perspective. </w:t>
            </w:r>
            <w:r>
              <w:rPr>
                <w:sz w:val="24"/>
                <w:szCs w:val="24"/>
              </w:rPr>
              <w:t>The site is particularly sensitive</w:t>
            </w:r>
            <w:r w:rsidR="009706DE">
              <w:rPr>
                <w:sz w:val="24"/>
                <w:szCs w:val="24"/>
              </w:rPr>
              <w:t xml:space="preserve"> in ecology terms</w:t>
            </w:r>
            <w:r>
              <w:rPr>
                <w:sz w:val="24"/>
                <w:szCs w:val="24"/>
              </w:rPr>
              <w:t xml:space="preserve"> due to it bordering the SSSI </w:t>
            </w:r>
            <w:r w:rsidR="009706DE">
              <w:rPr>
                <w:sz w:val="24"/>
                <w:szCs w:val="24"/>
              </w:rPr>
              <w:t>and ancient woodland and is also sensitive in landscape terms being located on higher ground and visible in views from the south. Would cause landscape harm and would potentially have impact on the adjacent SSSI</w:t>
            </w:r>
            <w:r w:rsidR="00581904">
              <w:rPr>
                <w:sz w:val="24"/>
                <w:szCs w:val="24"/>
              </w:rPr>
              <w:t xml:space="preserve"> and further assessment is required.</w:t>
            </w:r>
          </w:p>
        </w:tc>
      </w:tr>
      <w:tr w:rsidR="00581904" w:rsidRPr="00C76945" w:rsidTr="00581904">
        <w:trPr>
          <w:trHeight w:val="554"/>
        </w:trPr>
        <w:tc>
          <w:tcPr>
            <w:tcW w:w="2444" w:type="dxa"/>
            <w:shd w:val="clear" w:color="auto" w:fill="7030A0"/>
          </w:tcPr>
          <w:p w:rsidR="00581904" w:rsidRDefault="00581904" w:rsidP="00707C88">
            <w:pPr>
              <w:rPr>
                <w:color w:val="FFFFFF" w:themeColor="background1"/>
                <w:sz w:val="24"/>
                <w:szCs w:val="24"/>
              </w:rPr>
            </w:pPr>
            <w:r>
              <w:rPr>
                <w:color w:val="FFFFFF" w:themeColor="background1"/>
                <w:sz w:val="24"/>
                <w:szCs w:val="24"/>
              </w:rPr>
              <w:t>Recommendation</w:t>
            </w:r>
          </w:p>
        </w:tc>
        <w:tc>
          <w:tcPr>
            <w:tcW w:w="6572" w:type="dxa"/>
            <w:shd w:val="clear" w:color="auto" w:fill="FFFFFF" w:themeFill="background1"/>
          </w:tcPr>
          <w:p w:rsidR="00581904" w:rsidRDefault="00581904" w:rsidP="00705E06">
            <w:pPr>
              <w:rPr>
                <w:sz w:val="24"/>
                <w:szCs w:val="24"/>
              </w:rPr>
            </w:pPr>
            <w:r>
              <w:rPr>
                <w:sz w:val="24"/>
                <w:szCs w:val="24"/>
              </w:rPr>
              <w:t>At the present time, the site is not deliverable due to access being in third party ownership.</w:t>
            </w:r>
            <w:r w:rsidR="00705E06">
              <w:rPr>
                <w:sz w:val="24"/>
                <w:szCs w:val="24"/>
              </w:rPr>
              <w:t xml:space="preserve"> Furthermore, the site is considered to be sensitive in landscape terms which would count against housing on the site but if the Parish wishes to investigate this option further, then</w:t>
            </w:r>
            <w:r>
              <w:rPr>
                <w:sz w:val="24"/>
                <w:szCs w:val="24"/>
              </w:rPr>
              <w:t xml:space="preserve"> further assessment should be undertaken in respect of e</w:t>
            </w:r>
            <w:r w:rsidR="00705E06">
              <w:rPr>
                <w:sz w:val="24"/>
                <w:szCs w:val="24"/>
              </w:rPr>
              <w:t xml:space="preserve">cology and landscape and access to what (if any) parts of the site could be </w:t>
            </w:r>
            <w:r w:rsidR="00EE7A4C">
              <w:rPr>
                <w:sz w:val="24"/>
                <w:szCs w:val="24"/>
              </w:rPr>
              <w:t xml:space="preserve">delivered and any effects </w:t>
            </w:r>
            <w:r w:rsidR="00705E06">
              <w:rPr>
                <w:sz w:val="24"/>
                <w:szCs w:val="24"/>
              </w:rPr>
              <w:t>mi</w:t>
            </w:r>
            <w:bookmarkStart w:id="0" w:name="_GoBack"/>
            <w:bookmarkEnd w:id="0"/>
            <w:r w:rsidR="00705E06">
              <w:rPr>
                <w:sz w:val="24"/>
                <w:szCs w:val="24"/>
              </w:rPr>
              <w:t>tigated.</w:t>
            </w:r>
          </w:p>
        </w:tc>
      </w:tr>
    </w:tbl>
    <w:p w:rsidR="009475ED" w:rsidRDefault="00EE7A4C"/>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1B013A"/>
    <w:rsid w:val="003819D3"/>
    <w:rsid w:val="00416C6F"/>
    <w:rsid w:val="004D4A33"/>
    <w:rsid w:val="00581904"/>
    <w:rsid w:val="006C6D9D"/>
    <w:rsid w:val="00705E06"/>
    <w:rsid w:val="007A613D"/>
    <w:rsid w:val="008E3A10"/>
    <w:rsid w:val="00925C09"/>
    <w:rsid w:val="009706DE"/>
    <w:rsid w:val="00B352B7"/>
    <w:rsid w:val="00C76945"/>
    <w:rsid w:val="00CD3781"/>
    <w:rsid w:val="00D963ED"/>
    <w:rsid w:val="00E27B7F"/>
    <w:rsid w:val="00EE7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6</cp:revision>
  <dcterms:created xsi:type="dcterms:W3CDTF">2017-03-18T09:18:00Z</dcterms:created>
  <dcterms:modified xsi:type="dcterms:W3CDTF">2017-03-21T21:06:00Z</dcterms:modified>
</cp:coreProperties>
</file>