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7"/>
        <w:gridCol w:w="6469"/>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F06DD8">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shd w:val="clear" w:color="auto" w:fill="auto"/>
          </w:tcPr>
          <w:p w:rsidR="00416C6F" w:rsidRPr="0053196F" w:rsidRDefault="00151ED0" w:rsidP="00707C88">
            <w:pPr>
              <w:rPr>
                <w:sz w:val="24"/>
                <w:szCs w:val="24"/>
              </w:rPr>
            </w:pPr>
            <w:r>
              <w:rPr>
                <w:sz w:val="24"/>
                <w:szCs w:val="24"/>
              </w:rPr>
              <w:t xml:space="preserve">No. </w:t>
            </w:r>
            <w:r w:rsidR="00E20E62">
              <w:rPr>
                <w:sz w:val="24"/>
                <w:szCs w:val="24"/>
              </w:rPr>
              <w:t>32.  Coombe Dell</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F06DD8">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469" w:type="dxa"/>
            <w:shd w:val="clear" w:color="auto" w:fill="auto"/>
          </w:tcPr>
          <w:p w:rsidR="00416C6F" w:rsidRPr="0053196F" w:rsidRDefault="00E20E62" w:rsidP="00707C88">
            <w:pPr>
              <w:rPr>
                <w:sz w:val="24"/>
                <w:szCs w:val="24"/>
              </w:rPr>
            </w:pPr>
            <w:r>
              <w:rPr>
                <w:sz w:val="24"/>
                <w:szCs w:val="24"/>
              </w:rPr>
              <w:t>0.7</w:t>
            </w:r>
            <w:r w:rsidR="00816E58">
              <w:rPr>
                <w:sz w:val="24"/>
                <w:szCs w:val="24"/>
              </w:rPr>
              <w:t>ha</w:t>
            </w:r>
          </w:p>
        </w:tc>
      </w:tr>
      <w:tr w:rsidR="00416C6F" w:rsidRPr="0053196F" w:rsidTr="00F06DD8">
        <w:trPr>
          <w:trHeight w:val="1268"/>
        </w:trPr>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shd w:val="clear" w:color="auto" w:fill="auto"/>
          </w:tcPr>
          <w:p w:rsidR="00416C6F" w:rsidRPr="0053196F" w:rsidRDefault="00E20E62" w:rsidP="00DC0FD2">
            <w:pPr>
              <w:rPr>
                <w:sz w:val="24"/>
                <w:szCs w:val="24"/>
              </w:rPr>
            </w:pPr>
            <w:r>
              <w:rPr>
                <w:sz w:val="24"/>
                <w:szCs w:val="24"/>
              </w:rPr>
              <w:t>Bungalow and garden</w:t>
            </w:r>
          </w:p>
        </w:tc>
      </w:tr>
      <w:tr w:rsidR="00416C6F" w:rsidRPr="0053196F" w:rsidTr="00F06DD8">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shd w:val="clear" w:color="auto" w:fill="auto"/>
          </w:tcPr>
          <w:p w:rsidR="00416C6F" w:rsidRPr="0053196F" w:rsidRDefault="00163683" w:rsidP="00163683">
            <w:pPr>
              <w:rPr>
                <w:sz w:val="24"/>
                <w:szCs w:val="24"/>
              </w:rPr>
            </w:pPr>
            <w:r>
              <w:rPr>
                <w:sz w:val="24"/>
                <w:szCs w:val="24"/>
              </w:rPr>
              <w:t>Housing</w:t>
            </w:r>
            <w:r w:rsidR="00500306">
              <w:rPr>
                <w:sz w:val="24"/>
                <w:szCs w:val="24"/>
              </w:rPr>
              <w:t xml:space="preserve"> </w:t>
            </w:r>
          </w:p>
        </w:tc>
      </w:tr>
      <w:tr w:rsidR="00416C6F" w:rsidRPr="0053196F" w:rsidTr="00F06DD8">
        <w:trPr>
          <w:trHeight w:val="878"/>
        </w:trPr>
        <w:tc>
          <w:tcPr>
            <w:tcW w:w="2547"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469" w:type="dxa"/>
            <w:shd w:val="clear" w:color="auto" w:fill="auto"/>
          </w:tcPr>
          <w:p w:rsidR="00416C6F" w:rsidRPr="0053196F" w:rsidRDefault="00E20E62" w:rsidP="00707C88">
            <w:pPr>
              <w:rPr>
                <w:sz w:val="24"/>
                <w:szCs w:val="24"/>
              </w:rPr>
            </w:pPr>
            <w:r>
              <w:rPr>
                <w:sz w:val="24"/>
                <w:szCs w:val="24"/>
              </w:rPr>
              <w:t>Owner proposer</w:t>
            </w:r>
          </w:p>
        </w:tc>
      </w:tr>
      <w:tr w:rsidR="00416C6F" w:rsidRPr="0053196F" w:rsidTr="00F06DD8">
        <w:trPr>
          <w:trHeight w:val="976"/>
        </w:trPr>
        <w:tc>
          <w:tcPr>
            <w:tcW w:w="2547" w:type="dxa"/>
            <w:shd w:val="clear" w:color="auto" w:fill="56008C"/>
          </w:tcPr>
          <w:p w:rsidR="00416C6F" w:rsidRDefault="00D963ED" w:rsidP="00707C88">
            <w:pPr>
              <w:rPr>
                <w:color w:val="FFFFFF"/>
                <w:sz w:val="24"/>
                <w:szCs w:val="24"/>
              </w:rPr>
            </w:pPr>
            <w:r>
              <w:rPr>
                <w:color w:val="FFFFFF"/>
                <w:sz w:val="24"/>
                <w:szCs w:val="24"/>
              </w:rPr>
              <w:t>Designations</w:t>
            </w:r>
          </w:p>
        </w:tc>
        <w:tc>
          <w:tcPr>
            <w:tcW w:w="6469" w:type="dxa"/>
            <w:shd w:val="clear" w:color="auto" w:fill="auto"/>
          </w:tcPr>
          <w:p w:rsidR="00D51EC3" w:rsidRPr="003819D3" w:rsidRDefault="00E20E62" w:rsidP="003C578E">
            <w:pPr>
              <w:rPr>
                <w:sz w:val="24"/>
                <w:szCs w:val="24"/>
              </w:rPr>
            </w:pPr>
            <w:r>
              <w:rPr>
                <w:sz w:val="24"/>
                <w:szCs w:val="24"/>
              </w:rPr>
              <w:t>AONB</w:t>
            </w:r>
          </w:p>
        </w:tc>
      </w:tr>
      <w:tr w:rsidR="00416C6F" w:rsidRPr="0053196F" w:rsidTr="00F06DD8">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shd w:val="clear" w:color="auto" w:fill="auto"/>
          </w:tcPr>
          <w:p w:rsidR="00416C6F" w:rsidRPr="0053196F" w:rsidRDefault="00E20E62" w:rsidP="00707C88">
            <w:pPr>
              <w:rPr>
                <w:sz w:val="24"/>
                <w:szCs w:val="24"/>
              </w:rPr>
            </w:pPr>
            <w:r>
              <w:rPr>
                <w:sz w:val="24"/>
                <w:szCs w:val="24"/>
              </w:rPr>
              <w:t>Consents relating to dwelling</w:t>
            </w:r>
          </w:p>
        </w:tc>
      </w:tr>
      <w:tr w:rsidR="00416C6F" w:rsidRPr="0053196F" w:rsidTr="00774A6F">
        <w:trPr>
          <w:trHeight w:val="293"/>
        </w:trPr>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F06DD8">
        <w:trPr>
          <w:trHeight w:val="719"/>
        </w:trPr>
        <w:tc>
          <w:tcPr>
            <w:tcW w:w="2547"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469" w:type="dxa"/>
            <w:shd w:val="clear" w:color="auto" w:fill="auto"/>
          </w:tcPr>
          <w:p w:rsidR="00416C6F" w:rsidRPr="0053196F" w:rsidRDefault="00E20E62" w:rsidP="00816E58">
            <w:pPr>
              <w:rPr>
                <w:sz w:val="24"/>
                <w:szCs w:val="24"/>
              </w:rPr>
            </w:pPr>
            <w:r>
              <w:rPr>
                <w:sz w:val="24"/>
                <w:szCs w:val="24"/>
              </w:rPr>
              <w:t>Within the AON</w:t>
            </w:r>
            <w:r w:rsidR="00B65086">
              <w:rPr>
                <w:sz w:val="24"/>
                <w:szCs w:val="24"/>
              </w:rPr>
              <w:t xml:space="preserve">B but represents a larger plot </w:t>
            </w:r>
            <w:r>
              <w:rPr>
                <w:sz w:val="24"/>
                <w:szCs w:val="24"/>
              </w:rPr>
              <w:t>within the heart of the village and is considered to be well contained by trees to the south and the railway line to the north. Whilst the development of the site would extend beyond the dwellings to the south, there are dwelling and gardens which do extend to the woodland to the east of the site</w:t>
            </w:r>
            <w:r w:rsidR="00B65086">
              <w:rPr>
                <w:sz w:val="24"/>
                <w:szCs w:val="24"/>
              </w:rPr>
              <w:t xml:space="preserve"> in line with this and it is likely the site would not be obvious in the wider landscape</w:t>
            </w:r>
            <w:r>
              <w:rPr>
                <w:sz w:val="24"/>
                <w:szCs w:val="24"/>
              </w:rPr>
              <w:t xml:space="preserve">. </w:t>
            </w:r>
          </w:p>
        </w:tc>
      </w:tr>
      <w:tr w:rsidR="00D963ED" w:rsidRPr="0053196F" w:rsidTr="00F06DD8">
        <w:trPr>
          <w:trHeight w:val="719"/>
        </w:trPr>
        <w:tc>
          <w:tcPr>
            <w:tcW w:w="2547" w:type="dxa"/>
            <w:shd w:val="clear" w:color="auto" w:fill="56008C"/>
          </w:tcPr>
          <w:p w:rsidR="00D963ED" w:rsidRDefault="00D963ED" w:rsidP="00C76945">
            <w:pPr>
              <w:rPr>
                <w:color w:val="FFFFFF"/>
                <w:sz w:val="24"/>
                <w:szCs w:val="24"/>
              </w:rPr>
            </w:pPr>
            <w:r>
              <w:rPr>
                <w:color w:val="FFFFFF"/>
                <w:sz w:val="24"/>
                <w:szCs w:val="24"/>
              </w:rPr>
              <w:t>Adjacent uses</w:t>
            </w:r>
          </w:p>
        </w:tc>
        <w:tc>
          <w:tcPr>
            <w:tcW w:w="6469" w:type="dxa"/>
            <w:shd w:val="clear" w:color="auto" w:fill="auto"/>
          </w:tcPr>
          <w:p w:rsidR="00D963ED" w:rsidRPr="0053196F" w:rsidRDefault="00E20E62" w:rsidP="00502953">
            <w:pPr>
              <w:rPr>
                <w:sz w:val="24"/>
                <w:szCs w:val="24"/>
              </w:rPr>
            </w:pPr>
            <w:r>
              <w:rPr>
                <w:sz w:val="24"/>
                <w:szCs w:val="24"/>
              </w:rPr>
              <w:t>Gardens, agriculture and woodland</w:t>
            </w:r>
          </w:p>
        </w:tc>
      </w:tr>
      <w:tr w:rsidR="00C76945" w:rsidRPr="0053196F" w:rsidTr="00F06DD8">
        <w:trPr>
          <w:trHeight w:val="710"/>
        </w:trPr>
        <w:tc>
          <w:tcPr>
            <w:tcW w:w="2547"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469" w:type="dxa"/>
            <w:shd w:val="clear" w:color="auto" w:fill="auto"/>
          </w:tcPr>
          <w:p w:rsidR="00DD7712" w:rsidRDefault="00816E58" w:rsidP="00E20E62">
            <w:pPr>
              <w:rPr>
                <w:sz w:val="24"/>
                <w:szCs w:val="24"/>
              </w:rPr>
            </w:pPr>
            <w:r>
              <w:rPr>
                <w:sz w:val="24"/>
                <w:szCs w:val="24"/>
              </w:rPr>
              <w:t xml:space="preserve">Trees/scrub, </w:t>
            </w:r>
            <w:r w:rsidR="00E20E62">
              <w:rPr>
                <w:sz w:val="24"/>
                <w:szCs w:val="24"/>
              </w:rPr>
              <w:t>woodland to the boundaries, eastern part of site quite overgrown so could present ecology issues</w:t>
            </w:r>
          </w:p>
          <w:p w:rsidR="00E20E62" w:rsidRPr="0053196F" w:rsidRDefault="00E20E62" w:rsidP="00E20E62">
            <w:pPr>
              <w:rPr>
                <w:sz w:val="24"/>
                <w:szCs w:val="24"/>
              </w:rPr>
            </w:pPr>
            <w:r>
              <w:rPr>
                <w:sz w:val="24"/>
                <w:szCs w:val="24"/>
              </w:rPr>
              <w:t>Tree protection to boundaries</w:t>
            </w:r>
            <w:r w:rsidR="006B4D5D">
              <w:rPr>
                <w:sz w:val="24"/>
                <w:szCs w:val="24"/>
              </w:rPr>
              <w:t>. Ancient woodland to the South East</w:t>
            </w:r>
          </w:p>
        </w:tc>
      </w:tr>
      <w:tr w:rsidR="00416C6F" w:rsidRPr="0053196F" w:rsidTr="00F06DD8">
        <w:trPr>
          <w:trHeight w:val="699"/>
        </w:trPr>
        <w:tc>
          <w:tcPr>
            <w:tcW w:w="2547"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469" w:type="dxa"/>
            <w:shd w:val="clear" w:color="auto" w:fill="auto"/>
          </w:tcPr>
          <w:p w:rsidR="007B7E73" w:rsidRPr="0053196F" w:rsidRDefault="00F06DD8" w:rsidP="00E20E62">
            <w:pPr>
              <w:rPr>
                <w:sz w:val="24"/>
                <w:szCs w:val="24"/>
              </w:rPr>
            </w:pPr>
            <w:r>
              <w:rPr>
                <w:sz w:val="24"/>
                <w:szCs w:val="24"/>
              </w:rPr>
              <w:t xml:space="preserve">Access to the </w:t>
            </w:r>
            <w:r w:rsidR="00816E58">
              <w:rPr>
                <w:sz w:val="24"/>
                <w:szCs w:val="24"/>
              </w:rPr>
              <w:t>S</w:t>
            </w:r>
            <w:r w:rsidR="00E20E62">
              <w:rPr>
                <w:sz w:val="24"/>
                <w:szCs w:val="24"/>
              </w:rPr>
              <w:t xml:space="preserve">W Boundary and may need assessment over visibility although may be acceptable through reduction/trimming of hedge to North. </w:t>
            </w:r>
          </w:p>
        </w:tc>
      </w:tr>
      <w:tr w:rsidR="00416C6F" w:rsidRPr="0053196F" w:rsidTr="00F06DD8">
        <w:tc>
          <w:tcPr>
            <w:tcW w:w="2547"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Other environmental, i..e Flood Risk</w:t>
            </w:r>
          </w:p>
          <w:p w:rsidR="00D963ED" w:rsidRPr="0053196F" w:rsidRDefault="00D963ED" w:rsidP="00707C88">
            <w:pPr>
              <w:rPr>
                <w:color w:val="FFFFFF"/>
                <w:sz w:val="24"/>
                <w:szCs w:val="24"/>
              </w:rPr>
            </w:pPr>
          </w:p>
        </w:tc>
        <w:tc>
          <w:tcPr>
            <w:tcW w:w="6469" w:type="dxa"/>
            <w:shd w:val="clear" w:color="auto" w:fill="auto"/>
          </w:tcPr>
          <w:p w:rsidR="00416C6F" w:rsidRPr="0053196F" w:rsidRDefault="00925C09" w:rsidP="00D51EC3">
            <w:pPr>
              <w:rPr>
                <w:sz w:val="24"/>
                <w:szCs w:val="24"/>
              </w:rPr>
            </w:pPr>
            <w:r>
              <w:rPr>
                <w:sz w:val="24"/>
                <w:szCs w:val="24"/>
              </w:rPr>
              <w:t>Flood Zone 1- low risk of flooding</w:t>
            </w:r>
            <w:r w:rsidR="002513A1">
              <w:rPr>
                <w:sz w:val="24"/>
                <w:szCs w:val="24"/>
              </w:rPr>
              <w:t xml:space="preserve"> </w:t>
            </w:r>
          </w:p>
        </w:tc>
      </w:tr>
      <w:tr w:rsidR="00416C6F" w:rsidRPr="0053196F" w:rsidTr="00F06DD8">
        <w:tc>
          <w:tcPr>
            <w:tcW w:w="2547" w:type="dxa"/>
            <w:shd w:val="clear" w:color="auto" w:fill="56008C"/>
          </w:tcPr>
          <w:p w:rsidR="00416C6F" w:rsidRDefault="00416C6F" w:rsidP="00707C88">
            <w:pPr>
              <w:rPr>
                <w:color w:val="FFFFFF"/>
                <w:sz w:val="24"/>
                <w:szCs w:val="24"/>
              </w:rPr>
            </w:pPr>
            <w:r>
              <w:rPr>
                <w:color w:val="FFFFFF"/>
                <w:sz w:val="24"/>
                <w:szCs w:val="24"/>
              </w:rPr>
              <w:t xml:space="preserve">Distance from the </w:t>
            </w:r>
            <w:r>
              <w:rPr>
                <w:color w:val="FFFFFF"/>
                <w:sz w:val="24"/>
                <w:szCs w:val="24"/>
              </w:rPr>
              <w:lastRenderedPageBreak/>
              <w:t>village core</w:t>
            </w:r>
          </w:p>
          <w:p w:rsidR="00D963ED" w:rsidRPr="0053196F" w:rsidRDefault="00D963ED" w:rsidP="00707C88">
            <w:pPr>
              <w:rPr>
                <w:color w:val="FFFFFF"/>
                <w:sz w:val="24"/>
                <w:szCs w:val="24"/>
              </w:rPr>
            </w:pPr>
          </w:p>
        </w:tc>
        <w:tc>
          <w:tcPr>
            <w:tcW w:w="6469" w:type="dxa"/>
            <w:shd w:val="clear" w:color="auto" w:fill="auto"/>
          </w:tcPr>
          <w:p w:rsidR="003C6CC0" w:rsidRDefault="003C6CC0" w:rsidP="003C6CC0">
            <w:pPr>
              <w:rPr>
                <w:sz w:val="24"/>
                <w:szCs w:val="24"/>
              </w:rPr>
            </w:pPr>
            <w:r>
              <w:rPr>
                <w:sz w:val="24"/>
                <w:szCs w:val="24"/>
              </w:rPr>
              <w:lastRenderedPageBreak/>
              <w:t xml:space="preserve">Distance from school/church </w:t>
            </w:r>
            <w:r w:rsidR="00E20E62">
              <w:rPr>
                <w:sz w:val="24"/>
                <w:szCs w:val="24"/>
              </w:rPr>
              <w:t>650</w:t>
            </w:r>
            <w:r>
              <w:rPr>
                <w:sz w:val="24"/>
                <w:szCs w:val="24"/>
              </w:rPr>
              <w:t>m no</w:t>
            </w:r>
            <w:r w:rsidR="00B40A8B">
              <w:rPr>
                <w:sz w:val="24"/>
                <w:szCs w:val="24"/>
              </w:rPr>
              <w:t xml:space="preserve"> footpaths</w:t>
            </w:r>
          </w:p>
          <w:p w:rsidR="00925C09" w:rsidRDefault="003C6CC0" w:rsidP="00B40A8B">
            <w:pPr>
              <w:rPr>
                <w:sz w:val="24"/>
                <w:szCs w:val="24"/>
              </w:rPr>
            </w:pPr>
            <w:r>
              <w:rPr>
                <w:sz w:val="24"/>
                <w:szCs w:val="24"/>
              </w:rPr>
              <w:lastRenderedPageBreak/>
              <w:t xml:space="preserve">Pub-Recreation ground </w:t>
            </w:r>
            <w:r w:rsidR="00E20E62">
              <w:rPr>
                <w:sz w:val="24"/>
                <w:szCs w:val="24"/>
              </w:rPr>
              <w:t>1600</w:t>
            </w:r>
            <w:r>
              <w:rPr>
                <w:sz w:val="24"/>
                <w:szCs w:val="24"/>
              </w:rPr>
              <w:t>m–</w:t>
            </w:r>
            <w:r w:rsidR="00B40A8B">
              <w:rPr>
                <w:sz w:val="24"/>
                <w:szCs w:val="24"/>
              </w:rPr>
              <w:t>no footpaths</w:t>
            </w:r>
          </w:p>
          <w:p w:rsidR="00816E58" w:rsidRPr="0053196F" w:rsidRDefault="00E20E62" w:rsidP="00B40A8B">
            <w:pPr>
              <w:rPr>
                <w:sz w:val="24"/>
                <w:szCs w:val="24"/>
              </w:rPr>
            </w:pPr>
            <w:r>
              <w:rPr>
                <w:sz w:val="24"/>
                <w:szCs w:val="24"/>
              </w:rPr>
              <w:t>300</w:t>
            </w:r>
            <w:r w:rsidR="00816E58">
              <w:rPr>
                <w:sz w:val="24"/>
                <w:szCs w:val="24"/>
              </w:rPr>
              <w:t>m to railway</w:t>
            </w:r>
            <w:r>
              <w:rPr>
                <w:sz w:val="24"/>
                <w:szCs w:val="24"/>
              </w:rPr>
              <w:t xml:space="preserve"> –via cut through</w:t>
            </w:r>
          </w:p>
        </w:tc>
      </w:tr>
      <w:tr w:rsidR="00416C6F" w:rsidRPr="0053196F" w:rsidTr="00F06DD8">
        <w:tc>
          <w:tcPr>
            <w:tcW w:w="2547"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lastRenderedPageBreak/>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tcBorders>
              <w:bottom w:val="single" w:sz="4" w:space="0" w:color="auto"/>
            </w:tcBorders>
            <w:shd w:val="clear" w:color="auto" w:fill="auto"/>
          </w:tcPr>
          <w:p w:rsidR="00816E58" w:rsidRDefault="00E20E62" w:rsidP="00902ABC">
            <w:pPr>
              <w:rPr>
                <w:sz w:val="24"/>
                <w:szCs w:val="24"/>
              </w:rPr>
            </w:pPr>
            <w:r>
              <w:rPr>
                <w:sz w:val="24"/>
                <w:szCs w:val="24"/>
              </w:rPr>
              <w:t>Noise from railway</w:t>
            </w:r>
          </w:p>
          <w:p w:rsidR="00E20E62" w:rsidRPr="0053196F" w:rsidRDefault="00E20E62" w:rsidP="00902ABC">
            <w:pPr>
              <w:rPr>
                <w:sz w:val="24"/>
                <w:szCs w:val="24"/>
              </w:rPr>
            </w:pPr>
            <w:r>
              <w:rPr>
                <w:sz w:val="24"/>
                <w:szCs w:val="24"/>
              </w:rPr>
              <w:t>Would require the demolition of the existing bungalow</w:t>
            </w:r>
          </w:p>
        </w:tc>
      </w:tr>
      <w:tr w:rsidR="00416C6F" w:rsidRPr="0053196F" w:rsidTr="00F06DD8">
        <w:tc>
          <w:tcPr>
            <w:tcW w:w="2547"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tcBorders>
              <w:bottom w:val="single" w:sz="4" w:space="0" w:color="auto"/>
            </w:tcBorders>
            <w:shd w:val="clear" w:color="auto" w:fill="auto"/>
          </w:tcPr>
          <w:p w:rsidR="00E20E62" w:rsidRDefault="00E20E62" w:rsidP="00214109">
            <w:pPr>
              <w:rPr>
                <w:sz w:val="24"/>
                <w:szCs w:val="24"/>
              </w:rPr>
            </w:pPr>
            <w:r>
              <w:rPr>
                <w:sz w:val="24"/>
                <w:szCs w:val="24"/>
              </w:rPr>
              <w:t>Access- needs further assessment but likely to be acceptable.</w:t>
            </w:r>
          </w:p>
          <w:p w:rsidR="006B4D5D" w:rsidRDefault="006B4D5D" w:rsidP="00214109">
            <w:pPr>
              <w:rPr>
                <w:sz w:val="24"/>
                <w:szCs w:val="24"/>
              </w:rPr>
            </w:pPr>
            <w:r>
              <w:rPr>
                <w:sz w:val="24"/>
                <w:szCs w:val="24"/>
              </w:rPr>
              <w:t>Ancient woodland – buffer</w:t>
            </w:r>
          </w:p>
          <w:p w:rsidR="006B4D5D" w:rsidRDefault="006B4D5D" w:rsidP="00214109">
            <w:pPr>
              <w:rPr>
                <w:sz w:val="24"/>
                <w:szCs w:val="24"/>
              </w:rPr>
            </w:pPr>
            <w:r>
              <w:rPr>
                <w:sz w:val="24"/>
                <w:szCs w:val="24"/>
              </w:rPr>
              <w:t>Bungalow- is not of architectural merit to retain.</w:t>
            </w:r>
          </w:p>
          <w:p w:rsidR="00816E58" w:rsidRPr="0053196F" w:rsidRDefault="00816E58" w:rsidP="00214109">
            <w:pPr>
              <w:rPr>
                <w:sz w:val="24"/>
                <w:szCs w:val="24"/>
              </w:rPr>
            </w:pPr>
            <w:r>
              <w:rPr>
                <w:sz w:val="24"/>
                <w:szCs w:val="24"/>
              </w:rPr>
              <w:t xml:space="preserve"> </w:t>
            </w:r>
          </w:p>
        </w:tc>
      </w:tr>
      <w:tr w:rsidR="00902ABC" w:rsidRPr="0053196F" w:rsidTr="00F06DD8">
        <w:tc>
          <w:tcPr>
            <w:tcW w:w="2547" w:type="dxa"/>
            <w:tcBorders>
              <w:bottom w:val="single" w:sz="4" w:space="0" w:color="auto"/>
            </w:tcBorders>
            <w:shd w:val="clear" w:color="auto" w:fill="56008C"/>
          </w:tcPr>
          <w:p w:rsidR="00902ABC" w:rsidRDefault="00902ABC" w:rsidP="00707C88">
            <w:pPr>
              <w:rPr>
                <w:color w:val="FFFFFF"/>
                <w:sz w:val="24"/>
                <w:szCs w:val="24"/>
              </w:rPr>
            </w:pPr>
            <w:r>
              <w:rPr>
                <w:color w:val="FFFFFF"/>
                <w:sz w:val="24"/>
                <w:szCs w:val="24"/>
              </w:rPr>
              <w:t>Available/Deliverable</w:t>
            </w:r>
          </w:p>
        </w:tc>
        <w:tc>
          <w:tcPr>
            <w:tcW w:w="6469" w:type="dxa"/>
            <w:tcBorders>
              <w:bottom w:val="single" w:sz="4" w:space="0" w:color="auto"/>
            </w:tcBorders>
            <w:shd w:val="clear" w:color="auto" w:fill="auto"/>
          </w:tcPr>
          <w:p w:rsidR="00902ABC" w:rsidRDefault="00902ABC" w:rsidP="00B40A8B">
            <w:pPr>
              <w:rPr>
                <w:sz w:val="24"/>
                <w:szCs w:val="24"/>
              </w:rPr>
            </w:pPr>
            <w:r>
              <w:rPr>
                <w:sz w:val="24"/>
                <w:szCs w:val="24"/>
              </w:rPr>
              <w:t xml:space="preserve">Site </w:t>
            </w:r>
            <w:r w:rsidR="007063A7">
              <w:rPr>
                <w:sz w:val="24"/>
                <w:szCs w:val="24"/>
              </w:rPr>
              <w:t>promoted by</w:t>
            </w:r>
            <w:r w:rsidR="00E20E62">
              <w:rPr>
                <w:sz w:val="24"/>
                <w:szCs w:val="24"/>
              </w:rPr>
              <w:t xml:space="preserve"> owner so acceptable</w:t>
            </w:r>
          </w:p>
        </w:tc>
      </w:tr>
      <w:tr w:rsidR="00C76945" w:rsidRPr="00C76945" w:rsidTr="00816E58">
        <w:trPr>
          <w:trHeight w:val="1575"/>
        </w:trPr>
        <w:tc>
          <w:tcPr>
            <w:tcW w:w="2547"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469" w:type="dxa"/>
            <w:shd w:val="clear" w:color="auto" w:fill="FFFFFF" w:themeFill="background1"/>
          </w:tcPr>
          <w:p w:rsidR="00C76945" w:rsidRPr="00E27B7F" w:rsidRDefault="003C6CC0" w:rsidP="00E20E62">
            <w:pPr>
              <w:rPr>
                <w:sz w:val="24"/>
                <w:szCs w:val="24"/>
              </w:rPr>
            </w:pPr>
            <w:r>
              <w:rPr>
                <w:sz w:val="24"/>
                <w:szCs w:val="24"/>
              </w:rPr>
              <w:t>The site is</w:t>
            </w:r>
            <w:r w:rsidR="00B40A8B">
              <w:rPr>
                <w:sz w:val="24"/>
                <w:szCs w:val="24"/>
              </w:rPr>
              <w:t xml:space="preserve"> </w:t>
            </w:r>
            <w:r w:rsidR="00E20E62">
              <w:rPr>
                <w:sz w:val="24"/>
                <w:szCs w:val="24"/>
              </w:rPr>
              <w:t xml:space="preserve">available and considered </w:t>
            </w:r>
            <w:r w:rsidR="006B4D5D">
              <w:rPr>
                <w:sz w:val="24"/>
                <w:szCs w:val="24"/>
              </w:rPr>
              <w:t>to be well located in respect of village facilities and is relatively well contained from the wider landscape</w:t>
            </w:r>
            <w:r w:rsidR="00816E58">
              <w:rPr>
                <w:sz w:val="24"/>
                <w:szCs w:val="24"/>
              </w:rPr>
              <w:t>.</w:t>
            </w:r>
            <w:r w:rsidR="006B4D5D">
              <w:rPr>
                <w:sz w:val="24"/>
                <w:szCs w:val="24"/>
              </w:rPr>
              <w:t xml:space="preserve"> The access will require further consideration and the land could be considered in relation to adjacent land to the south.  </w:t>
            </w:r>
            <w:r w:rsidR="00816E58">
              <w:rPr>
                <w:sz w:val="24"/>
                <w:szCs w:val="24"/>
              </w:rPr>
              <w:t xml:space="preserve"> </w:t>
            </w:r>
          </w:p>
        </w:tc>
      </w:tr>
      <w:tr w:rsidR="00816E58" w:rsidRPr="00C76945" w:rsidTr="00816E58">
        <w:trPr>
          <w:trHeight w:val="1575"/>
        </w:trPr>
        <w:tc>
          <w:tcPr>
            <w:tcW w:w="2547" w:type="dxa"/>
            <w:shd w:val="clear" w:color="auto" w:fill="7030A0"/>
          </w:tcPr>
          <w:p w:rsidR="00816E58" w:rsidRDefault="00816E58" w:rsidP="00707C88">
            <w:pPr>
              <w:rPr>
                <w:color w:val="FFFFFF" w:themeColor="background1"/>
                <w:sz w:val="24"/>
                <w:szCs w:val="24"/>
              </w:rPr>
            </w:pPr>
          </w:p>
        </w:tc>
        <w:tc>
          <w:tcPr>
            <w:tcW w:w="6469" w:type="dxa"/>
            <w:shd w:val="clear" w:color="auto" w:fill="FFFFFF" w:themeFill="background1"/>
          </w:tcPr>
          <w:p w:rsidR="00816E58" w:rsidRDefault="006B4D5D" w:rsidP="00816E58">
            <w:pPr>
              <w:rPr>
                <w:sz w:val="24"/>
                <w:szCs w:val="24"/>
              </w:rPr>
            </w:pPr>
            <w:r>
              <w:rPr>
                <w:sz w:val="24"/>
                <w:szCs w:val="24"/>
              </w:rPr>
              <w:t>Potentially suitable site subject to further assessment regarding capacity, trees and access. Recommend further consideration.</w:t>
            </w:r>
          </w:p>
        </w:tc>
      </w:tr>
    </w:tbl>
    <w:p w:rsidR="009475ED" w:rsidRDefault="00DA16E4">
      <w:bookmarkStart w:id="0" w:name="_GoBack"/>
      <w:bookmarkEnd w:id="0"/>
    </w:p>
    <w:sectPr w:rsidR="009475ED" w:rsidSect="0021371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16C6F"/>
    <w:rsid w:val="0000719D"/>
    <w:rsid w:val="000A7171"/>
    <w:rsid w:val="000B38B6"/>
    <w:rsid w:val="00136B38"/>
    <w:rsid w:val="00151ED0"/>
    <w:rsid w:val="00163683"/>
    <w:rsid w:val="00166D9F"/>
    <w:rsid w:val="001B013A"/>
    <w:rsid w:val="001D139F"/>
    <w:rsid w:val="0020049A"/>
    <w:rsid w:val="00212AF1"/>
    <w:rsid w:val="0021371A"/>
    <w:rsid w:val="00214109"/>
    <w:rsid w:val="002513A1"/>
    <w:rsid w:val="00251BE1"/>
    <w:rsid w:val="002B57EF"/>
    <w:rsid w:val="003819D3"/>
    <w:rsid w:val="003C578E"/>
    <w:rsid w:val="003C6CC0"/>
    <w:rsid w:val="00416C6F"/>
    <w:rsid w:val="00432BF9"/>
    <w:rsid w:val="00450CBE"/>
    <w:rsid w:val="004844FE"/>
    <w:rsid w:val="004A0A10"/>
    <w:rsid w:val="004C2F13"/>
    <w:rsid w:val="004D4A33"/>
    <w:rsid w:val="00500306"/>
    <w:rsid w:val="00502953"/>
    <w:rsid w:val="00505867"/>
    <w:rsid w:val="005344F0"/>
    <w:rsid w:val="00535D51"/>
    <w:rsid w:val="005C63FA"/>
    <w:rsid w:val="005F19C2"/>
    <w:rsid w:val="005F2E06"/>
    <w:rsid w:val="00623E1A"/>
    <w:rsid w:val="00626F99"/>
    <w:rsid w:val="00665C1B"/>
    <w:rsid w:val="00693926"/>
    <w:rsid w:val="006A2911"/>
    <w:rsid w:val="006B4D5D"/>
    <w:rsid w:val="006B6AF5"/>
    <w:rsid w:val="006C6D9D"/>
    <w:rsid w:val="006D52DF"/>
    <w:rsid w:val="006F0A73"/>
    <w:rsid w:val="007063A7"/>
    <w:rsid w:val="00724FC3"/>
    <w:rsid w:val="00760B24"/>
    <w:rsid w:val="00774A6F"/>
    <w:rsid w:val="007A613D"/>
    <w:rsid w:val="007B7E73"/>
    <w:rsid w:val="007C52D3"/>
    <w:rsid w:val="007F22FF"/>
    <w:rsid w:val="007F34DA"/>
    <w:rsid w:val="00801993"/>
    <w:rsid w:val="00816E58"/>
    <w:rsid w:val="0083364A"/>
    <w:rsid w:val="008A7EF9"/>
    <w:rsid w:val="008C6E95"/>
    <w:rsid w:val="008E3A10"/>
    <w:rsid w:val="00902ABC"/>
    <w:rsid w:val="00925C09"/>
    <w:rsid w:val="009706DE"/>
    <w:rsid w:val="00983909"/>
    <w:rsid w:val="009965AA"/>
    <w:rsid w:val="009E5CED"/>
    <w:rsid w:val="00A82F2A"/>
    <w:rsid w:val="00AF22D4"/>
    <w:rsid w:val="00B40A8B"/>
    <w:rsid w:val="00B65086"/>
    <w:rsid w:val="00B65A99"/>
    <w:rsid w:val="00C3391C"/>
    <w:rsid w:val="00C76945"/>
    <w:rsid w:val="00CC5DFE"/>
    <w:rsid w:val="00D159D8"/>
    <w:rsid w:val="00D51EC3"/>
    <w:rsid w:val="00D963ED"/>
    <w:rsid w:val="00DA16E4"/>
    <w:rsid w:val="00DC0FD2"/>
    <w:rsid w:val="00DC7D89"/>
    <w:rsid w:val="00DD7712"/>
    <w:rsid w:val="00DF60AD"/>
    <w:rsid w:val="00E20E62"/>
    <w:rsid w:val="00E27B7F"/>
    <w:rsid w:val="00E4785B"/>
    <w:rsid w:val="00E81743"/>
    <w:rsid w:val="00F06A15"/>
    <w:rsid w:val="00F06DD8"/>
    <w:rsid w:val="00F102ED"/>
    <w:rsid w:val="00F35351"/>
    <w:rsid w:val="00F912EC"/>
    <w:rsid w:val="00F966D5"/>
    <w:rsid w:val="00FA2998"/>
    <w:rsid w:val="00FA7A85"/>
    <w:rsid w:val="00FB3261"/>
    <w:rsid w:val="00FE173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1759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Wynn</dc:creator>
  <cp:lastModifiedBy>Richard</cp:lastModifiedBy>
  <cp:revision>2</cp:revision>
  <dcterms:created xsi:type="dcterms:W3CDTF">2018-11-20T10:42:00Z</dcterms:created>
  <dcterms:modified xsi:type="dcterms:W3CDTF">2018-11-20T10:42:00Z</dcterms:modified>
</cp:coreProperties>
</file>