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6469"/>
      </w:tblGrid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 w:rsidRPr="0053196F">
              <w:rPr>
                <w:b/>
                <w:color w:val="FFFFFF"/>
                <w:sz w:val="24"/>
                <w:szCs w:val="24"/>
              </w:rPr>
              <w:t>Site Details</w:t>
            </w:r>
          </w:p>
        </w:tc>
      </w:tr>
      <w:tr w:rsidR="00416C6F" w:rsidRPr="0053196F" w:rsidTr="00F06DD8">
        <w:tc>
          <w:tcPr>
            <w:tcW w:w="254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Site Address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469" w:type="dxa"/>
            <w:shd w:val="clear" w:color="auto" w:fill="auto"/>
          </w:tcPr>
          <w:p w:rsidR="00416C6F" w:rsidRPr="0053196F" w:rsidRDefault="00151ED0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No. </w:t>
            </w:r>
            <w:r w:rsidR="00FA7A85">
              <w:rPr>
                <w:sz w:val="24"/>
                <w:szCs w:val="24"/>
              </w:rPr>
              <w:t>31</w:t>
            </w:r>
            <w:r w:rsidR="00500306">
              <w:rPr>
                <w:sz w:val="24"/>
                <w:szCs w:val="24"/>
              </w:rPr>
              <w:t xml:space="preserve">, Land </w:t>
            </w:r>
            <w:r w:rsidR="00163683">
              <w:rPr>
                <w:sz w:val="24"/>
                <w:szCs w:val="24"/>
              </w:rPr>
              <w:t xml:space="preserve">at </w:t>
            </w:r>
            <w:r w:rsidR="00FA7A85">
              <w:rPr>
                <w:sz w:val="24"/>
                <w:szCs w:val="24"/>
              </w:rPr>
              <w:t>Ballards Hill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F06DD8">
        <w:tc>
          <w:tcPr>
            <w:tcW w:w="254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6469" w:type="dxa"/>
            <w:shd w:val="clear" w:color="auto" w:fill="auto"/>
          </w:tcPr>
          <w:p w:rsidR="00416C6F" w:rsidRPr="0053196F" w:rsidRDefault="00892457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2.2ha</w:t>
            </w:r>
          </w:p>
        </w:tc>
      </w:tr>
      <w:tr w:rsidR="00416C6F" w:rsidRPr="0053196F" w:rsidTr="00F06DD8">
        <w:trPr>
          <w:trHeight w:val="1268"/>
        </w:trPr>
        <w:tc>
          <w:tcPr>
            <w:tcW w:w="254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</w:tc>
        <w:tc>
          <w:tcPr>
            <w:tcW w:w="6469" w:type="dxa"/>
            <w:shd w:val="clear" w:color="auto" w:fill="auto"/>
          </w:tcPr>
          <w:p w:rsidR="00416C6F" w:rsidRPr="0053196F" w:rsidRDefault="004C2F13" w:rsidP="00DC0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Grazing land</w:t>
            </w:r>
            <w:r w:rsidR="005C63FA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F06DD8">
        <w:tc>
          <w:tcPr>
            <w:tcW w:w="254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469" w:type="dxa"/>
            <w:shd w:val="clear" w:color="auto" w:fill="auto"/>
          </w:tcPr>
          <w:p w:rsidR="00416C6F" w:rsidRPr="0053196F" w:rsidRDefault="00163683" w:rsidP="001636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  <w:r w:rsidR="00500306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F06DD8">
        <w:trPr>
          <w:trHeight w:val="878"/>
        </w:trPr>
        <w:tc>
          <w:tcPr>
            <w:tcW w:w="2547" w:type="dxa"/>
            <w:shd w:val="clear" w:color="auto" w:fill="56008C"/>
          </w:tcPr>
          <w:p w:rsidR="00416C6F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D963ED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6469" w:type="dxa"/>
            <w:shd w:val="clear" w:color="auto" w:fill="auto"/>
          </w:tcPr>
          <w:p w:rsidR="00416C6F" w:rsidRPr="0053196F" w:rsidRDefault="003C403F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Third Party</w:t>
            </w:r>
          </w:p>
        </w:tc>
      </w:tr>
      <w:tr w:rsidR="00416C6F" w:rsidRPr="0053196F" w:rsidTr="00F06DD8">
        <w:trPr>
          <w:trHeight w:val="976"/>
        </w:trPr>
        <w:tc>
          <w:tcPr>
            <w:tcW w:w="2547" w:type="dxa"/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6469" w:type="dxa"/>
            <w:shd w:val="clear" w:color="auto" w:fill="auto"/>
          </w:tcPr>
          <w:p w:rsidR="00D51EC3" w:rsidRPr="003819D3" w:rsidRDefault="00FA7A85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AONB</w:t>
            </w:r>
          </w:p>
        </w:tc>
      </w:tr>
      <w:tr w:rsidR="00416C6F" w:rsidRPr="0053196F" w:rsidTr="00F06DD8">
        <w:tc>
          <w:tcPr>
            <w:tcW w:w="2547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469" w:type="dxa"/>
            <w:shd w:val="clear" w:color="auto" w:fill="auto"/>
          </w:tcPr>
          <w:p w:rsidR="00416C6F" w:rsidRPr="0053196F" w:rsidRDefault="00A82F2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None </w:t>
            </w:r>
          </w:p>
        </w:tc>
      </w:tr>
      <w:tr w:rsidR="00416C6F" w:rsidRPr="0053196F" w:rsidTr="00774A6F">
        <w:trPr>
          <w:trHeight w:val="293"/>
        </w:trPr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F06DD8">
        <w:trPr>
          <w:trHeight w:val="719"/>
        </w:trPr>
        <w:tc>
          <w:tcPr>
            <w:tcW w:w="2547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6469" w:type="dxa"/>
            <w:shd w:val="clear" w:color="auto" w:fill="auto"/>
          </w:tcPr>
          <w:p w:rsidR="00416C6F" w:rsidRPr="0053196F" w:rsidRDefault="00FA7A85" w:rsidP="008924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Located within the</w:t>
            </w:r>
            <w:r w:rsidR="00DF60AD">
              <w:rPr>
                <w:sz w:val="24"/>
                <w:szCs w:val="24"/>
              </w:rPr>
              <w:t xml:space="preserve"> </w:t>
            </w:r>
            <w:r w:rsidR="00892457">
              <w:rPr>
                <w:sz w:val="24"/>
                <w:szCs w:val="24"/>
              </w:rPr>
              <w:t xml:space="preserve">High Weald </w:t>
            </w:r>
            <w:r w:rsidR="00DF60AD">
              <w:rPr>
                <w:sz w:val="24"/>
                <w:szCs w:val="24"/>
              </w:rPr>
              <w:t>AONB</w:t>
            </w:r>
            <w:r>
              <w:rPr>
                <w:sz w:val="24"/>
                <w:szCs w:val="24"/>
              </w:rPr>
              <w:t xml:space="preserve"> and occupies a very prominent location both in terms of short range views but also long range views across the village. </w:t>
            </w:r>
            <w:r w:rsidR="00892457">
              <w:rPr>
                <w:sz w:val="24"/>
                <w:szCs w:val="24"/>
              </w:rPr>
              <w:t>Whilst land is currently used for</w:t>
            </w:r>
            <w:r>
              <w:rPr>
                <w:sz w:val="24"/>
                <w:szCs w:val="24"/>
              </w:rPr>
              <w:t xml:space="preserve"> equestrian purposes, it is considered to contribute to the rural character of the village </w:t>
            </w:r>
            <w:r w:rsidR="00B40A8B">
              <w:rPr>
                <w:sz w:val="24"/>
                <w:szCs w:val="24"/>
              </w:rPr>
              <w:t>fa</w:t>
            </w:r>
            <w:r w:rsidR="00892457">
              <w:rPr>
                <w:sz w:val="24"/>
                <w:szCs w:val="24"/>
              </w:rPr>
              <w:t>l</w:t>
            </w:r>
            <w:r w:rsidR="00B40A8B">
              <w:rPr>
                <w:sz w:val="24"/>
                <w:szCs w:val="24"/>
              </w:rPr>
              <w:t xml:space="preserve">ling within a rural landscape </w:t>
            </w:r>
            <w:r>
              <w:rPr>
                <w:sz w:val="24"/>
                <w:szCs w:val="24"/>
              </w:rPr>
              <w:t>and is particularly sensitive due to its prominence. The land slopes</w:t>
            </w:r>
            <w:r w:rsidR="00B40A8B">
              <w:rPr>
                <w:sz w:val="24"/>
                <w:szCs w:val="24"/>
              </w:rPr>
              <w:t xml:space="preserve"> up to higher ground to</w:t>
            </w:r>
            <w:r>
              <w:rPr>
                <w:sz w:val="24"/>
                <w:szCs w:val="24"/>
              </w:rPr>
              <w:t xml:space="preserve"> the south and whilst it</w:t>
            </w:r>
            <w:r w:rsidR="003C403F">
              <w:rPr>
                <w:sz w:val="24"/>
                <w:szCs w:val="24"/>
              </w:rPr>
              <w:t xml:space="preserve"> is</w:t>
            </w:r>
            <w:r>
              <w:rPr>
                <w:sz w:val="24"/>
                <w:szCs w:val="24"/>
              </w:rPr>
              <w:t xml:space="preserve"> contained</w:t>
            </w:r>
            <w:r w:rsidR="00892457">
              <w:rPr>
                <w:sz w:val="24"/>
                <w:szCs w:val="24"/>
              </w:rPr>
              <w:t xml:space="preserve"> by</w:t>
            </w:r>
            <w:r>
              <w:rPr>
                <w:sz w:val="24"/>
                <w:szCs w:val="24"/>
              </w:rPr>
              <w:t xml:space="preserve"> a boundary hedgerow, </w:t>
            </w:r>
            <w:r w:rsidR="00892457">
              <w:rPr>
                <w:sz w:val="24"/>
                <w:szCs w:val="24"/>
              </w:rPr>
              <w:t xml:space="preserve">it </w:t>
            </w:r>
            <w:r>
              <w:rPr>
                <w:sz w:val="24"/>
                <w:szCs w:val="24"/>
              </w:rPr>
              <w:t>is visible from the road both at the junction with Ballards Hill and Chapel Hill and along Ballards Hill to the south</w:t>
            </w:r>
            <w:r w:rsidR="00892457">
              <w:rPr>
                <w:sz w:val="24"/>
                <w:szCs w:val="24"/>
              </w:rPr>
              <w:t xml:space="preserve">. </w:t>
            </w:r>
            <w:r w:rsidR="00B40A8B">
              <w:rPr>
                <w:sz w:val="24"/>
                <w:szCs w:val="24"/>
              </w:rPr>
              <w:t>Lies with the Rother character area CR1 which considered the area to have no capacity for new development</w:t>
            </w:r>
          </w:p>
        </w:tc>
      </w:tr>
      <w:tr w:rsidR="00D963ED" w:rsidRPr="0053196F" w:rsidTr="00F06DD8">
        <w:trPr>
          <w:trHeight w:val="719"/>
        </w:trPr>
        <w:tc>
          <w:tcPr>
            <w:tcW w:w="2547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6469" w:type="dxa"/>
            <w:shd w:val="clear" w:color="auto" w:fill="auto"/>
          </w:tcPr>
          <w:p w:rsidR="00D963ED" w:rsidRPr="0053196F" w:rsidRDefault="00FA7A85" w:rsidP="00502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3C6CC0">
              <w:rPr>
                <w:sz w:val="24"/>
                <w:szCs w:val="24"/>
              </w:rPr>
              <w:t xml:space="preserve">esidential </w:t>
            </w:r>
            <w:r>
              <w:rPr>
                <w:sz w:val="24"/>
                <w:szCs w:val="24"/>
              </w:rPr>
              <w:t>properties to the east and south west</w:t>
            </w:r>
            <w:r w:rsidR="003C6CC0">
              <w:rPr>
                <w:sz w:val="24"/>
                <w:szCs w:val="24"/>
              </w:rPr>
              <w:t>.</w:t>
            </w:r>
          </w:p>
        </w:tc>
      </w:tr>
      <w:tr w:rsidR="00C76945" w:rsidRPr="0053196F" w:rsidTr="00F06DD8">
        <w:trPr>
          <w:trHeight w:val="710"/>
        </w:trPr>
        <w:tc>
          <w:tcPr>
            <w:tcW w:w="2547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6469" w:type="dxa"/>
            <w:shd w:val="clear" w:color="auto" w:fill="auto"/>
          </w:tcPr>
          <w:p w:rsidR="00DD7712" w:rsidRPr="0053196F" w:rsidRDefault="00FA7A85" w:rsidP="00FA7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="00F06DD8">
              <w:rPr>
                <w:sz w:val="24"/>
                <w:szCs w:val="24"/>
              </w:rPr>
              <w:t>rassland</w:t>
            </w:r>
            <w:r>
              <w:rPr>
                <w:sz w:val="24"/>
                <w:szCs w:val="24"/>
              </w:rPr>
              <w:t xml:space="preserve"> and hedgerows </w:t>
            </w:r>
          </w:p>
        </w:tc>
      </w:tr>
      <w:tr w:rsidR="00416C6F" w:rsidRPr="0053196F" w:rsidTr="00F06DD8">
        <w:trPr>
          <w:trHeight w:val="699"/>
        </w:trPr>
        <w:tc>
          <w:tcPr>
            <w:tcW w:w="2547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6469" w:type="dxa"/>
            <w:shd w:val="clear" w:color="auto" w:fill="auto"/>
          </w:tcPr>
          <w:p w:rsidR="007B7E73" w:rsidRPr="0053196F" w:rsidRDefault="00F06DD8" w:rsidP="00FA7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Access to the </w:t>
            </w:r>
            <w:r w:rsidR="00FA7A85">
              <w:rPr>
                <w:sz w:val="24"/>
                <w:szCs w:val="24"/>
              </w:rPr>
              <w:t>NE boundary</w:t>
            </w:r>
          </w:p>
        </w:tc>
      </w:tr>
      <w:tr w:rsidR="00416C6F" w:rsidRPr="0053196F" w:rsidTr="00F06DD8">
        <w:tc>
          <w:tcPr>
            <w:tcW w:w="2547" w:type="dxa"/>
            <w:tcBorders>
              <w:bottom w:val="single" w:sz="4" w:space="0" w:color="auto"/>
            </w:tcBorders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Other environmental, i..e Flood Risk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469" w:type="dxa"/>
            <w:shd w:val="clear" w:color="auto" w:fill="auto"/>
          </w:tcPr>
          <w:p w:rsidR="00416C6F" w:rsidRDefault="00925C09" w:rsidP="00D51E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1- low risk of flooding</w:t>
            </w:r>
            <w:r w:rsidR="002513A1">
              <w:rPr>
                <w:sz w:val="24"/>
                <w:szCs w:val="24"/>
              </w:rPr>
              <w:t xml:space="preserve"> </w:t>
            </w:r>
          </w:p>
          <w:p w:rsidR="003C403F" w:rsidRPr="0053196F" w:rsidRDefault="003C403F" w:rsidP="00D51E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Sustinable Drainage Systems</w:t>
            </w:r>
          </w:p>
        </w:tc>
      </w:tr>
      <w:tr w:rsidR="00416C6F" w:rsidRPr="0053196F" w:rsidTr="00F06DD8">
        <w:tc>
          <w:tcPr>
            <w:tcW w:w="2547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469" w:type="dxa"/>
            <w:shd w:val="clear" w:color="auto" w:fill="auto"/>
          </w:tcPr>
          <w:p w:rsidR="003C6CC0" w:rsidRDefault="003C6CC0" w:rsidP="003C6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Distance from school/church </w:t>
            </w:r>
            <w:r w:rsidR="00FA7A85">
              <w:rPr>
                <w:sz w:val="24"/>
                <w:szCs w:val="24"/>
              </w:rPr>
              <w:t>480</w:t>
            </w:r>
            <w:r>
              <w:rPr>
                <w:sz w:val="24"/>
                <w:szCs w:val="24"/>
              </w:rPr>
              <w:t>m no</w:t>
            </w:r>
            <w:r w:rsidR="00B40A8B">
              <w:rPr>
                <w:sz w:val="24"/>
                <w:szCs w:val="24"/>
              </w:rPr>
              <w:t xml:space="preserve"> footpaths</w:t>
            </w:r>
          </w:p>
          <w:p w:rsidR="00925C09" w:rsidRDefault="003C6CC0" w:rsidP="00B40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Pub-Recreation ground </w:t>
            </w:r>
            <w:r w:rsidR="00B40A8B">
              <w:rPr>
                <w:sz w:val="24"/>
                <w:szCs w:val="24"/>
              </w:rPr>
              <w:t>320</w:t>
            </w:r>
            <w:r>
              <w:rPr>
                <w:sz w:val="24"/>
                <w:szCs w:val="24"/>
              </w:rPr>
              <w:t>m–</w:t>
            </w:r>
            <w:r w:rsidR="00B40A8B">
              <w:rPr>
                <w:sz w:val="24"/>
                <w:szCs w:val="24"/>
              </w:rPr>
              <w:t>no footpaths</w:t>
            </w:r>
          </w:p>
          <w:p w:rsidR="00892457" w:rsidRPr="0053196F" w:rsidRDefault="00892457" w:rsidP="00B40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Railway 1100m to the station – via no footpath route</w:t>
            </w:r>
          </w:p>
        </w:tc>
      </w:tr>
      <w:tr w:rsidR="00416C6F" w:rsidRPr="0053196F" w:rsidTr="00F06DD8">
        <w:tc>
          <w:tcPr>
            <w:tcW w:w="2547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lastRenderedPageBreak/>
              <w:t>Other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469" w:type="dxa"/>
            <w:tcBorders>
              <w:bottom w:val="single" w:sz="4" w:space="0" w:color="auto"/>
            </w:tcBorders>
            <w:shd w:val="clear" w:color="auto" w:fill="auto"/>
          </w:tcPr>
          <w:p w:rsidR="00DC7D89" w:rsidRPr="0053196F" w:rsidRDefault="00DC7D89" w:rsidP="00902ABC">
            <w:pPr>
              <w:rPr>
                <w:sz w:val="24"/>
                <w:szCs w:val="24"/>
              </w:rPr>
            </w:pPr>
          </w:p>
        </w:tc>
      </w:tr>
      <w:tr w:rsidR="00416C6F" w:rsidRPr="0053196F" w:rsidTr="00F06DD8">
        <w:tc>
          <w:tcPr>
            <w:tcW w:w="2547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Can</w:t>
            </w:r>
            <w:r w:rsidRPr="0053196F">
              <w:rPr>
                <w:color w:val="FFFFFF"/>
                <w:sz w:val="24"/>
                <w:szCs w:val="24"/>
              </w:rPr>
              <w:t xml:space="preserve"> </w:t>
            </w:r>
            <w:r w:rsidR="00C76945">
              <w:rPr>
                <w:color w:val="FFFFFF"/>
                <w:sz w:val="24"/>
                <w:szCs w:val="24"/>
              </w:rPr>
              <w:t>any</w:t>
            </w:r>
            <w:r w:rsidRPr="0053196F">
              <w:rPr>
                <w:color w:val="FFFFFF"/>
                <w:sz w:val="24"/>
                <w:szCs w:val="24"/>
              </w:rPr>
              <w:t xml:space="preserve"> constraints be overcome?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469" w:type="dxa"/>
            <w:tcBorders>
              <w:bottom w:val="single" w:sz="4" w:space="0" w:color="auto"/>
            </w:tcBorders>
            <w:shd w:val="clear" w:color="auto" w:fill="auto"/>
          </w:tcPr>
          <w:p w:rsidR="00623E1A" w:rsidRPr="0053196F" w:rsidRDefault="00B40A8B" w:rsidP="00214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Landscape- Prominence from many vantage points makes mitigation unlikely</w:t>
            </w:r>
            <w:r w:rsidR="00892457">
              <w:rPr>
                <w:sz w:val="24"/>
                <w:szCs w:val="24"/>
              </w:rPr>
              <w:t xml:space="preserve"> to be successful </w:t>
            </w:r>
          </w:p>
        </w:tc>
      </w:tr>
      <w:tr w:rsidR="00902ABC" w:rsidRPr="0053196F" w:rsidTr="00F06DD8">
        <w:tc>
          <w:tcPr>
            <w:tcW w:w="2547" w:type="dxa"/>
            <w:tcBorders>
              <w:bottom w:val="single" w:sz="4" w:space="0" w:color="auto"/>
            </w:tcBorders>
            <w:shd w:val="clear" w:color="auto" w:fill="56008C"/>
          </w:tcPr>
          <w:p w:rsidR="00902ABC" w:rsidRDefault="00892457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Availability </w:t>
            </w:r>
          </w:p>
        </w:tc>
        <w:tc>
          <w:tcPr>
            <w:tcW w:w="6469" w:type="dxa"/>
            <w:tcBorders>
              <w:bottom w:val="single" w:sz="4" w:space="0" w:color="auto"/>
            </w:tcBorders>
            <w:shd w:val="clear" w:color="auto" w:fill="auto"/>
          </w:tcPr>
          <w:p w:rsidR="00902ABC" w:rsidRDefault="00902ABC" w:rsidP="00B40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</w:t>
            </w:r>
            <w:r w:rsidR="007063A7">
              <w:rPr>
                <w:sz w:val="24"/>
                <w:szCs w:val="24"/>
              </w:rPr>
              <w:t>promoted by</w:t>
            </w:r>
            <w:r w:rsidR="00B40A8B">
              <w:rPr>
                <w:sz w:val="24"/>
                <w:szCs w:val="24"/>
              </w:rPr>
              <w:t xml:space="preserve"> a third party so not </w:t>
            </w:r>
            <w:r w:rsidR="00892457">
              <w:rPr>
                <w:sz w:val="24"/>
                <w:szCs w:val="24"/>
              </w:rPr>
              <w:t>available</w:t>
            </w:r>
            <w:r w:rsidR="00B40A8B">
              <w:rPr>
                <w:sz w:val="24"/>
                <w:szCs w:val="24"/>
              </w:rPr>
              <w:t xml:space="preserve"> at this stage</w:t>
            </w:r>
            <w:r w:rsidR="007063A7">
              <w:rPr>
                <w:sz w:val="24"/>
                <w:szCs w:val="24"/>
              </w:rPr>
              <w:t xml:space="preserve"> </w:t>
            </w:r>
          </w:p>
        </w:tc>
      </w:tr>
      <w:tr w:rsidR="00C76945" w:rsidRPr="00C76945" w:rsidTr="00F06DD8">
        <w:trPr>
          <w:trHeight w:val="2271"/>
        </w:trPr>
        <w:tc>
          <w:tcPr>
            <w:tcW w:w="2547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6469" w:type="dxa"/>
            <w:shd w:val="clear" w:color="auto" w:fill="FFFFFF" w:themeFill="background1"/>
          </w:tcPr>
          <w:p w:rsidR="00C76945" w:rsidRPr="00E27B7F" w:rsidRDefault="003C6CC0" w:rsidP="00B40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site is</w:t>
            </w:r>
            <w:r w:rsidR="00B40A8B">
              <w:rPr>
                <w:sz w:val="24"/>
                <w:szCs w:val="24"/>
              </w:rPr>
              <w:t xml:space="preserve"> relatively well located to village amenities although these are not accessible via footpath routes. The site forms part of a rural landscape which is relatively</w:t>
            </w:r>
            <w:r>
              <w:rPr>
                <w:sz w:val="24"/>
                <w:szCs w:val="24"/>
              </w:rPr>
              <w:t xml:space="preserve"> prominent</w:t>
            </w:r>
            <w:r w:rsidR="00B40A8B">
              <w:rPr>
                <w:sz w:val="24"/>
                <w:szCs w:val="24"/>
              </w:rPr>
              <w:t xml:space="preserve"> in both long and short range views and would </w:t>
            </w:r>
            <w:r w:rsidR="00892457">
              <w:rPr>
                <w:sz w:val="24"/>
                <w:szCs w:val="24"/>
              </w:rPr>
              <w:t xml:space="preserve">cause </w:t>
            </w:r>
            <w:r w:rsidR="00B40A8B">
              <w:rPr>
                <w:sz w:val="24"/>
                <w:szCs w:val="24"/>
              </w:rPr>
              <w:t>harm to the village and rural landscape.</w:t>
            </w:r>
            <w:r>
              <w:rPr>
                <w:sz w:val="24"/>
                <w:szCs w:val="24"/>
              </w:rPr>
              <w:t xml:space="preserve"> </w:t>
            </w:r>
            <w:r w:rsidR="00B40A8B">
              <w:rPr>
                <w:sz w:val="24"/>
                <w:szCs w:val="24"/>
              </w:rPr>
              <w:t>The site is not promoted by the owner and so its availability is unclear and thus is not achievable in any case at this stage</w:t>
            </w:r>
          </w:p>
        </w:tc>
      </w:tr>
      <w:tr w:rsidR="00892457" w:rsidRPr="00C76945" w:rsidTr="009357A9">
        <w:trPr>
          <w:trHeight w:val="1277"/>
        </w:trPr>
        <w:tc>
          <w:tcPr>
            <w:tcW w:w="2547" w:type="dxa"/>
            <w:shd w:val="clear" w:color="auto" w:fill="7030A0"/>
          </w:tcPr>
          <w:p w:rsidR="00892457" w:rsidRDefault="00892457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6469" w:type="dxa"/>
            <w:shd w:val="clear" w:color="auto" w:fill="FFFFFF" w:themeFill="background1"/>
          </w:tcPr>
          <w:p w:rsidR="009357A9" w:rsidRDefault="00892457" w:rsidP="00B40A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Due to the landscape prominent and impact of new development, it is not considered suitable for new development</w:t>
            </w:r>
            <w:r w:rsidR="003C403F">
              <w:rPr>
                <w:sz w:val="24"/>
                <w:szCs w:val="24"/>
              </w:rPr>
              <w:t xml:space="preserve"> and should not be pursued further.</w:t>
            </w:r>
          </w:p>
          <w:p w:rsidR="00892457" w:rsidRPr="009357A9" w:rsidRDefault="00892457" w:rsidP="009357A9">
            <w:pPr>
              <w:rPr>
                <w:sz w:val="24"/>
                <w:szCs w:val="24"/>
              </w:rPr>
            </w:pPr>
          </w:p>
        </w:tc>
      </w:tr>
    </w:tbl>
    <w:p w:rsidR="009475ED" w:rsidRDefault="00E13A80"/>
    <w:sectPr w:rsidR="009475ED" w:rsidSect="00E61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16C6F"/>
    <w:rsid w:val="0000719D"/>
    <w:rsid w:val="000A7171"/>
    <w:rsid w:val="000B38B6"/>
    <w:rsid w:val="000F6FAD"/>
    <w:rsid w:val="00136B38"/>
    <w:rsid w:val="00151ED0"/>
    <w:rsid w:val="00163683"/>
    <w:rsid w:val="00166D9F"/>
    <w:rsid w:val="001B013A"/>
    <w:rsid w:val="001D139F"/>
    <w:rsid w:val="0020049A"/>
    <w:rsid w:val="00212AF1"/>
    <w:rsid w:val="00214109"/>
    <w:rsid w:val="002513A1"/>
    <w:rsid w:val="00251BE1"/>
    <w:rsid w:val="002B57EF"/>
    <w:rsid w:val="003819D3"/>
    <w:rsid w:val="003C403F"/>
    <w:rsid w:val="003C578E"/>
    <w:rsid w:val="003C6CC0"/>
    <w:rsid w:val="00416C6F"/>
    <w:rsid w:val="00432BF9"/>
    <w:rsid w:val="00450CBE"/>
    <w:rsid w:val="004844FE"/>
    <w:rsid w:val="004C2F13"/>
    <w:rsid w:val="004D4A33"/>
    <w:rsid w:val="00500306"/>
    <w:rsid w:val="00502953"/>
    <w:rsid w:val="00505867"/>
    <w:rsid w:val="005344F0"/>
    <w:rsid w:val="00535D51"/>
    <w:rsid w:val="005C63FA"/>
    <w:rsid w:val="005F19C2"/>
    <w:rsid w:val="005F2E06"/>
    <w:rsid w:val="00623E1A"/>
    <w:rsid w:val="00626F99"/>
    <w:rsid w:val="00665C1B"/>
    <w:rsid w:val="00693926"/>
    <w:rsid w:val="006A2911"/>
    <w:rsid w:val="006B6AF5"/>
    <w:rsid w:val="006C6D9D"/>
    <w:rsid w:val="006D52DF"/>
    <w:rsid w:val="006F0A73"/>
    <w:rsid w:val="007063A7"/>
    <w:rsid w:val="00724FC3"/>
    <w:rsid w:val="00760B24"/>
    <w:rsid w:val="00774A6F"/>
    <w:rsid w:val="007A613D"/>
    <w:rsid w:val="007B7E73"/>
    <w:rsid w:val="007C52D3"/>
    <w:rsid w:val="007F22FF"/>
    <w:rsid w:val="007F34DA"/>
    <w:rsid w:val="00801993"/>
    <w:rsid w:val="0083364A"/>
    <w:rsid w:val="00892457"/>
    <w:rsid w:val="008A7EF9"/>
    <w:rsid w:val="008C6E95"/>
    <w:rsid w:val="008E3A10"/>
    <w:rsid w:val="00902ABC"/>
    <w:rsid w:val="00925C09"/>
    <w:rsid w:val="009357A9"/>
    <w:rsid w:val="009706DE"/>
    <w:rsid w:val="00983909"/>
    <w:rsid w:val="009965AA"/>
    <w:rsid w:val="009E5CED"/>
    <w:rsid w:val="00A82F2A"/>
    <w:rsid w:val="00AF22D4"/>
    <w:rsid w:val="00B40A8B"/>
    <w:rsid w:val="00B65A99"/>
    <w:rsid w:val="00C3391C"/>
    <w:rsid w:val="00C76945"/>
    <w:rsid w:val="00CC5DFE"/>
    <w:rsid w:val="00D51EC3"/>
    <w:rsid w:val="00D963ED"/>
    <w:rsid w:val="00DC0FD2"/>
    <w:rsid w:val="00DC7D89"/>
    <w:rsid w:val="00DD7712"/>
    <w:rsid w:val="00DF60AD"/>
    <w:rsid w:val="00E13A80"/>
    <w:rsid w:val="00E27B7F"/>
    <w:rsid w:val="00E4785B"/>
    <w:rsid w:val="00E61094"/>
    <w:rsid w:val="00E81743"/>
    <w:rsid w:val="00F06A15"/>
    <w:rsid w:val="00F06DD8"/>
    <w:rsid w:val="00F35351"/>
    <w:rsid w:val="00F912EC"/>
    <w:rsid w:val="00F966D5"/>
    <w:rsid w:val="00FA2998"/>
    <w:rsid w:val="00FA7A85"/>
    <w:rsid w:val="00FB3261"/>
    <w:rsid w:val="00FE1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57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7A9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Wynn</dc:creator>
  <cp:lastModifiedBy>Richard</cp:lastModifiedBy>
  <cp:revision>2</cp:revision>
  <cp:lastPrinted>2017-03-21T19:43:00Z</cp:lastPrinted>
  <dcterms:created xsi:type="dcterms:W3CDTF">2018-11-20T10:44:00Z</dcterms:created>
  <dcterms:modified xsi:type="dcterms:W3CDTF">2018-11-20T10:44:00Z</dcterms:modified>
</cp:coreProperties>
</file>