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558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672EB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151ED0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  <w:r w:rsidR="005C63FA">
              <w:rPr>
                <w:sz w:val="24"/>
                <w:szCs w:val="24"/>
              </w:rPr>
              <w:t>2</w:t>
            </w:r>
            <w:r w:rsidR="00450CBE">
              <w:rPr>
                <w:sz w:val="24"/>
                <w:szCs w:val="24"/>
              </w:rPr>
              <w:t>7</w:t>
            </w:r>
            <w:r w:rsidR="00E4785B">
              <w:rPr>
                <w:sz w:val="24"/>
                <w:szCs w:val="24"/>
              </w:rPr>
              <w:t xml:space="preserve">, </w:t>
            </w:r>
            <w:r w:rsidR="00432BF9">
              <w:rPr>
                <w:sz w:val="24"/>
                <w:szCs w:val="24"/>
              </w:rPr>
              <w:t xml:space="preserve">Land </w:t>
            </w:r>
            <w:r w:rsidR="00450CBE">
              <w:rPr>
                <w:sz w:val="24"/>
                <w:szCs w:val="24"/>
              </w:rPr>
              <w:t xml:space="preserve">opposite </w:t>
            </w:r>
            <w:proofErr w:type="spellStart"/>
            <w:r w:rsidR="00450CBE">
              <w:rPr>
                <w:sz w:val="24"/>
                <w:szCs w:val="24"/>
              </w:rPr>
              <w:t>Broadfield</w:t>
            </w:r>
            <w:proofErr w:type="spellEnd"/>
            <w:r w:rsidR="00450CBE">
              <w:rPr>
                <w:sz w:val="24"/>
                <w:szCs w:val="24"/>
              </w:rPr>
              <w:t xml:space="preserve">, 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672EB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672EB4">
        <w:trPr>
          <w:trHeight w:val="126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DC0FD2" w:rsidP="00DC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Agricultural</w:t>
            </w:r>
            <w:r w:rsidR="004C2F13">
              <w:rPr>
                <w:sz w:val="24"/>
                <w:szCs w:val="24"/>
              </w:rPr>
              <w:t>/Grazing land</w:t>
            </w:r>
            <w:r w:rsidR="005C63FA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672EB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3819D3" w:rsidP="00212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</w:p>
        </w:tc>
      </w:tr>
      <w:tr w:rsidR="00416C6F" w:rsidRPr="0053196F" w:rsidTr="00672EB4">
        <w:trPr>
          <w:trHeight w:val="87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450CBE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 Proposer</w:t>
            </w:r>
          </w:p>
        </w:tc>
      </w:tr>
      <w:tr w:rsidR="00416C6F" w:rsidRPr="0053196F" w:rsidTr="00672EB4">
        <w:trPr>
          <w:trHeight w:val="976"/>
        </w:trPr>
        <w:tc>
          <w:tcPr>
            <w:tcW w:w="2458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558" w:type="dxa"/>
            <w:shd w:val="clear" w:color="auto" w:fill="auto"/>
          </w:tcPr>
          <w:p w:rsidR="00D51EC3" w:rsidRPr="003819D3" w:rsidRDefault="00450CBE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AONB</w:t>
            </w:r>
            <w:r w:rsidR="00D51EC3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672EB4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A82F2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</w:tc>
      </w:tr>
      <w:tr w:rsidR="00416C6F" w:rsidRPr="0053196F" w:rsidTr="00774A6F">
        <w:trPr>
          <w:trHeight w:val="293"/>
        </w:trPr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672EB4">
        <w:trPr>
          <w:trHeight w:val="719"/>
        </w:trPr>
        <w:tc>
          <w:tcPr>
            <w:tcW w:w="2458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450CBE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Within the AONB and set within a clearing with woodland to its boundaries. Residential properties to the north and south and thus is not particularly visible in long range views</w:t>
            </w:r>
            <w:r w:rsidR="00665C1B">
              <w:rPr>
                <w:sz w:val="24"/>
                <w:szCs w:val="24"/>
              </w:rPr>
              <w:t xml:space="preserve">. </w:t>
            </w:r>
          </w:p>
        </w:tc>
      </w:tr>
      <w:tr w:rsidR="00D963ED" w:rsidRPr="0053196F" w:rsidTr="00672EB4">
        <w:trPr>
          <w:trHeight w:val="719"/>
        </w:trPr>
        <w:tc>
          <w:tcPr>
            <w:tcW w:w="2458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558" w:type="dxa"/>
            <w:shd w:val="clear" w:color="auto" w:fill="auto"/>
          </w:tcPr>
          <w:p w:rsidR="00D963ED" w:rsidRPr="0053196F" w:rsidRDefault="00665C1B" w:rsidP="0050295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Forewood</w:t>
            </w:r>
            <w:proofErr w:type="spellEnd"/>
            <w:r>
              <w:rPr>
                <w:sz w:val="24"/>
                <w:szCs w:val="24"/>
              </w:rPr>
              <w:t xml:space="preserve"> Nature reserve</w:t>
            </w:r>
            <w:r w:rsidR="00672EB4">
              <w:rPr>
                <w:sz w:val="24"/>
                <w:szCs w:val="24"/>
              </w:rPr>
              <w:t xml:space="preserve"> (SSSI)</w:t>
            </w:r>
            <w:r>
              <w:rPr>
                <w:sz w:val="24"/>
                <w:szCs w:val="24"/>
              </w:rPr>
              <w:t xml:space="preserve"> to the west and residential properties to the north</w:t>
            </w:r>
          </w:p>
        </w:tc>
      </w:tr>
      <w:tr w:rsidR="00C76945" w:rsidRPr="0053196F" w:rsidTr="00672EB4">
        <w:trPr>
          <w:trHeight w:val="710"/>
        </w:trPr>
        <w:tc>
          <w:tcPr>
            <w:tcW w:w="2458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558" w:type="dxa"/>
            <w:shd w:val="clear" w:color="auto" w:fill="auto"/>
          </w:tcPr>
          <w:p w:rsidR="00DD7712" w:rsidRPr="0053196F" w:rsidRDefault="00665C1B" w:rsidP="00665C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SSSI, Ancient Woodland to its boundaries. Presents high ecological value</w:t>
            </w:r>
          </w:p>
        </w:tc>
      </w:tr>
      <w:tr w:rsidR="00416C6F" w:rsidRPr="0053196F" w:rsidTr="00672EB4">
        <w:trPr>
          <w:trHeight w:val="699"/>
        </w:trPr>
        <w:tc>
          <w:tcPr>
            <w:tcW w:w="2458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558" w:type="dxa"/>
            <w:shd w:val="clear" w:color="auto" w:fill="auto"/>
          </w:tcPr>
          <w:p w:rsidR="007B7E73" w:rsidRPr="0053196F" w:rsidRDefault="00665C1B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Access to be provided to the southern part of the frontage, footpath access available to the south</w:t>
            </w:r>
            <w:r w:rsidR="00502953">
              <w:rPr>
                <w:sz w:val="24"/>
                <w:szCs w:val="24"/>
              </w:rPr>
              <w:t xml:space="preserve">  </w:t>
            </w:r>
          </w:p>
        </w:tc>
      </w:tr>
      <w:tr w:rsidR="00416C6F" w:rsidRPr="0053196F" w:rsidTr="00672EB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925C09" w:rsidP="00D51E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  <w:r w:rsidR="002513A1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672EB4">
        <w:tc>
          <w:tcPr>
            <w:tcW w:w="2458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502953" w:rsidRDefault="00502953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Distance from school/church </w:t>
            </w:r>
            <w:r w:rsidR="007063A7">
              <w:rPr>
                <w:sz w:val="24"/>
                <w:szCs w:val="24"/>
              </w:rPr>
              <w:t>320</w:t>
            </w:r>
            <w:r>
              <w:rPr>
                <w:sz w:val="24"/>
                <w:szCs w:val="24"/>
              </w:rPr>
              <w:t xml:space="preserve">m </w:t>
            </w:r>
            <w:r w:rsidR="007063A7">
              <w:rPr>
                <w:sz w:val="24"/>
                <w:szCs w:val="24"/>
              </w:rPr>
              <w:t>mostly</w:t>
            </w:r>
            <w:r>
              <w:rPr>
                <w:sz w:val="24"/>
                <w:szCs w:val="24"/>
              </w:rPr>
              <w:t xml:space="preserve"> footpath</w:t>
            </w:r>
          </w:p>
          <w:p w:rsidR="00925C09" w:rsidRDefault="00502953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7063A7">
              <w:rPr>
                <w:sz w:val="24"/>
                <w:szCs w:val="24"/>
              </w:rPr>
              <w:t>1300</w:t>
            </w:r>
            <w:r>
              <w:rPr>
                <w:sz w:val="24"/>
                <w:szCs w:val="24"/>
              </w:rPr>
              <w:t>m–</w:t>
            </w:r>
            <w:r w:rsidR="007063A7">
              <w:rPr>
                <w:sz w:val="24"/>
                <w:szCs w:val="24"/>
              </w:rPr>
              <w:t>via 1066</w:t>
            </w:r>
            <w:r>
              <w:rPr>
                <w:sz w:val="24"/>
                <w:szCs w:val="24"/>
              </w:rPr>
              <w:t xml:space="preserve"> footpath</w:t>
            </w:r>
          </w:p>
          <w:p w:rsidR="00672EB4" w:rsidRPr="0053196F" w:rsidRDefault="00672EB4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645m to station</w:t>
            </w:r>
          </w:p>
        </w:tc>
      </w:tr>
      <w:tr w:rsidR="00416C6F" w:rsidRPr="0053196F" w:rsidTr="00672EB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DC7D89" w:rsidRPr="0053196F" w:rsidRDefault="00DC7D89" w:rsidP="00902ABC">
            <w:pPr>
              <w:rPr>
                <w:sz w:val="24"/>
                <w:szCs w:val="24"/>
              </w:rPr>
            </w:pPr>
          </w:p>
        </w:tc>
      </w:tr>
      <w:tr w:rsidR="00416C6F" w:rsidRPr="0053196F" w:rsidTr="00672EB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lastRenderedPageBreak/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623E1A" w:rsidRPr="0053196F" w:rsidRDefault="007063A7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Ecology</w:t>
            </w:r>
            <w:r w:rsidR="00672EB4">
              <w:rPr>
                <w:sz w:val="24"/>
                <w:szCs w:val="24"/>
              </w:rPr>
              <w:t xml:space="preserve"> (SSSI</w:t>
            </w:r>
            <w:proofErr w:type="gramStart"/>
            <w:r w:rsidR="00672EB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Ancient Woodland – No due to standing advice regarding ancient woodland and sensitivity of the SSSI</w:t>
            </w:r>
            <w:r w:rsidR="00502953">
              <w:rPr>
                <w:sz w:val="24"/>
                <w:szCs w:val="24"/>
              </w:rPr>
              <w:t>.</w:t>
            </w:r>
          </w:p>
        </w:tc>
      </w:tr>
      <w:tr w:rsidR="00902ABC" w:rsidRPr="0053196F" w:rsidTr="00672EB4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902ABC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Available/Deliverable</w:t>
            </w: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7063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7063A7">
              <w:rPr>
                <w:sz w:val="24"/>
                <w:szCs w:val="24"/>
              </w:rPr>
              <w:t xml:space="preserve">promoted by owner so achievable </w:t>
            </w:r>
          </w:p>
        </w:tc>
      </w:tr>
      <w:tr w:rsidR="00C76945" w:rsidRPr="00C76945" w:rsidTr="00672EB4">
        <w:trPr>
          <w:trHeight w:val="2271"/>
        </w:trPr>
        <w:tc>
          <w:tcPr>
            <w:tcW w:w="2458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558" w:type="dxa"/>
            <w:shd w:val="clear" w:color="auto" w:fill="FFFFFF" w:themeFill="background1"/>
          </w:tcPr>
          <w:p w:rsidR="00C76945" w:rsidRPr="00E27B7F" w:rsidRDefault="00502953" w:rsidP="00672E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Whilst the site </w:t>
            </w:r>
            <w:r w:rsidR="007063A7">
              <w:rPr>
                <w:sz w:val="24"/>
                <w:szCs w:val="24"/>
              </w:rPr>
              <w:t xml:space="preserve">is relatively well located to village amenities and the settlement pattern, </w:t>
            </w:r>
            <w:r w:rsidR="00672EB4">
              <w:rPr>
                <w:sz w:val="24"/>
                <w:szCs w:val="24"/>
              </w:rPr>
              <w:t xml:space="preserve">the majority of </w:t>
            </w:r>
            <w:r w:rsidR="007063A7">
              <w:rPr>
                <w:sz w:val="24"/>
                <w:szCs w:val="24"/>
              </w:rPr>
              <w:t xml:space="preserve">the site lies with the designated boundary of the </w:t>
            </w:r>
            <w:proofErr w:type="spellStart"/>
            <w:r w:rsidR="007063A7">
              <w:rPr>
                <w:sz w:val="24"/>
                <w:szCs w:val="24"/>
              </w:rPr>
              <w:t>Forewood</w:t>
            </w:r>
            <w:proofErr w:type="spellEnd"/>
            <w:r w:rsidR="007063A7">
              <w:rPr>
                <w:sz w:val="24"/>
                <w:szCs w:val="24"/>
              </w:rPr>
              <w:t xml:space="preserve"> SSSI as well as lying in close proximity of ancient woodland and any new development would be within the minimum 15 metre buffer between new development and ancient woodland.</w:t>
            </w:r>
            <w:r w:rsidR="008A7EF9">
              <w:rPr>
                <w:sz w:val="24"/>
                <w:szCs w:val="24"/>
              </w:rPr>
              <w:t xml:space="preserve"> </w:t>
            </w:r>
            <w:r w:rsidR="00672EB4">
              <w:rPr>
                <w:sz w:val="24"/>
                <w:szCs w:val="24"/>
              </w:rPr>
              <w:t>The extent of clearing is unlikely to accommodate 6 dwellings and any new development would lead to further pressures/ felling of trees which would harm the</w:t>
            </w:r>
            <w:r w:rsidR="008A7EF9">
              <w:rPr>
                <w:sz w:val="24"/>
                <w:szCs w:val="24"/>
              </w:rPr>
              <w:t xml:space="preserve"> ancient woodland </w:t>
            </w:r>
            <w:r w:rsidR="00672EB4">
              <w:rPr>
                <w:sz w:val="24"/>
                <w:szCs w:val="24"/>
              </w:rPr>
              <w:t xml:space="preserve">and the SSSI </w:t>
            </w:r>
            <w:r w:rsidR="008A7EF9">
              <w:rPr>
                <w:sz w:val="24"/>
                <w:szCs w:val="24"/>
              </w:rPr>
              <w:t>which would be contrary to the NPPF.</w:t>
            </w:r>
          </w:p>
        </w:tc>
      </w:tr>
      <w:tr w:rsidR="00672EB4" w:rsidRPr="00C76945" w:rsidTr="001618BE">
        <w:trPr>
          <w:trHeight w:val="927"/>
        </w:trPr>
        <w:tc>
          <w:tcPr>
            <w:tcW w:w="2458" w:type="dxa"/>
            <w:shd w:val="clear" w:color="auto" w:fill="7030A0"/>
          </w:tcPr>
          <w:p w:rsidR="00672EB4" w:rsidRDefault="00672EB4" w:rsidP="00707C88">
            <w:pPr>
              <w:rPr>
                <w:color w:val="FFFFFF" w:themeColor="background1"/>
                <w:sz w:val="24"/>
                <w:szCs w:val="24"/>
              </w:rPr>
            </w:pPr>
            <w:r w:rsidRPr="001618BE"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558" w:type="dxa"/>
            <w:shd w:val="clear" w:color="auto" w:fill="FFFFFF" w:themeFill="background1"/>
          </w:tcPr>
          <w:p w:rsidR="00672EB4" w:rsidRDefault="00672EB4" w:rsidP="00672E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site is considered to cause potential harm to the SSSI and ancient woodland and therefore is considered to be unsuitable for new housing</w:t>
            </w:r>
          </w:p>
        </w:tc>
      </w:tr>
    </w:tbl>
    <w:p w:rsidR="009475ED" w:rsidRDefault="001618BE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00719D"/>
    <w:rsid w:val="000A7171"/>
    <w:rsid w:val="000B38B6"/>
    <w:rsid w:val="00136B38"/>
    <w:rsid w:val="00151ED0"/>
    <w:rsid w:val="001618BE"/>
    <w:rsid w:val="00166D9F"/>
    <w:rsid w:val="001B013A"/>
    <w:rsid w:val="001D139F"/>
    <w:rsid w:val="0020049A"/>
    <w:rsid w:val="00212AF1"/>
    <w:rsid w:val="00214109"/>
    <w:rsid w:val="002513A1"/>
    <w:rsid w:val="00251BE1"/>
    <w:rsid w:val="002B57EF"/>
    <w:rsid w:val="003819D3"/>
    <w:rsid w:val="003C578E"/>
    <w:rsid w:val="00416C6F"/>
    <w:rsid w:val="00432BF9"/>
    <w:rsid w:val="00450CBE"/>
    <w:rsid w:val="004844FE"/>
    <w:rsid w:val="004C2F13"/>
    <w:rsid w:val="004D4A33"/>
    <w:rsid w:val="00502953"/>
    <w:rsid w:val="00505867"/>
    <w:rsid w:val="005344F0"/>
    <w:rsid w:val="005C63FA"/>
    <w:rsid w:val="005F19C2"/>
    <w:rsid w:val="005F2E06"/>
    <w:rsid w:val="00623E1A"/>
    <w:rsid w:val="00626F99"/>
    <w:rsid w:val="00665C1B"/>
    <w:rsid w:val="00672EB4"/>
    <w:rsid w:val="00693926"/>
    <w:rsid w:val="006A2911"/>
    <w:rsid w:val="006B6AF5"/>
    <w:rsid w:val="006C6D9D"/>
    <w:rsid w:val="006D52DF"/>
    <w:rsid w:val="006F0A73"/>
    <w:rsid w:val="007063A7"/>
    <w:rsid w:val="00760B24"/>
    <w:rsid w:val="00774A6F"/>
    <w:rsid w:val="007A613D"/>
    <w:rsid w:val="007B7E73"/>
    <w:rsid w:val="007C52D3"/>
    <w:rsid w:val="007F22FF"/>
    <w:rsid w:val="007F34DA"/>
    <w:rsid w:val="00801993"/>
    <w:rsid w:val="0083364A"/>
    <w:rsid w:val="008A7EF9"/>
    <w:rsid w:val="008C6E95"/>
    <w:rsid w:val="008E3A10"/>
    <w:rsid w:val="00902ABC"/>
    <w:rsid w:val="00925C09"/>
    <w:rsid w:val="009706DE"/>
    <w:rsid w:val="00983909"/>
    <w:rsid w:val="009965AA"/>
    <w:rsid w:val="009E5CED"/>
    <w:rsid w:val="00A82F2A"/>
    <w:rsid w:val="00AF22D4"/>
    <w:rsid w:val="00B65A99"/>
    <w:rsid w:val="00C3391C"/>
    <w:rsid w:val="00C76945"/>
    <w:rsid w:val="00CC5DFE"/>
    <w:rsid w:val="00D51EC3"/>
    <w:rsid w:val="00D963ED"/>
    <w:rsid w:val="00DC0FD2"/>
    <w:rsid w:val="00DC7D89"/>
    <w:rsid w:val="00DD7712"/>
    <w:rsid w:val="00E27B7F"/>
    <w:rsid w:val="00E4785B"/>
    <w:rsid w:val="00E81743"/>
    <w:rsid w:val="00F06A15"/>
    <w:rsid w:val="00F35351"/>
    <w:rsid w:val="00F912EC"/>
    <w:rsid w:val="00F966D5"/>
    <w:rsid w:val="00FA2998"/>
    <w:rsid w:val="00FB3261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3</cp:revision>
  <dcterms:created xsi:type="dcterms:W3CDTF">2017-03-19T10:53:00Z</dcterms:created>
  <dcterms:modified xsi:type="dcterms:W3CDTF">2017-03-21T19:07:00Z</dcterms:modified>
</cp:coreProperties>
</file>