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6572"/>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3819D3" w:rsidRPr="0053196F" w:rsidRDefault="00515986" w:rsidP="00707C88">
            <w:pPr>
              <w:rPr>
                <w:sz w:val="24"/>
                <w:szCs w:val="24"/>
              </w:rPr>
            </w:pPr>
            <w:r>
              <w:rPr>
                <w:sz w:val="24"/>
                <w:szCs w:val="24"/>
              </w:rPr>
              <w:t xml:space="preserve">Site 5. </w:t>
            </w:r>
            <w:r w:rsidR="0020049A">
              <w:rPr>
                <w:sz w:val="24"/>
                <w:szCs w:val="24"/>
              </w:rPr>
              <w:t xml:space="preserve">Former Stable building Opposite St Georges Church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72" w:type="dxa"/>
            <w:shd w:val="clear" w:color="auto" w:fill="auto"/>
          </w:tcPr>
          <w:p w:rsidR="00416C6F" w:rsidRPr="0053196F" w:rsidRDefault="00416C6F" w:rsidP="00707C88">
            <w:pPr>
              <w:rPr>
                <w:sz w:val="24"/>
                <w:szCs w:val="24"/>
              </w:rPr>
            </w:pPr>
          </w:p>
        </w:tc>
      </w:tr>
      <w:tr w:rsidR="00416C6F" w:rsidRPr="0053196F" w:rsidTr="00D963ED">
        <w:trPr>
          <w:trHeight w:val="367"/>
        </w:trPr>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72" w:type="dxa"/>
            <w:shd w:val="clear" w:color="auto" w:fill="auto"/>
          </w:tcPr>
          <w:p w:rsidR="00416C6F" w:rsidRPr="0053196F" w:rsidRDefault="00FB3261" w:rsidP="00707C88">
            <w:pPr>
              <w:rPr>
                <w:sz w:val="24"/>
                <w:szCs w:val="24"/>
              </w:rPr>
            </w:pPr>
            <w:r>
              <w:rPr>
                <w:sz w:val="24"/>
                <w:szCs w:val="24"/>
              </w:rPr>
              <w:t xml:space="preserve">Former Stable building with adjoining land </w:t>
            </w:r>
          </w:p>
          <w:p w:rsidR="00416C6F" w:rsidRPr="0053196F" w:rsidRDefault="00416C6F" w:rsidP="00707C88">
            <w:pPr>
              <w:rPr>
                <w:sz w:val="24"/>
                <w:szCs w:val="24"/>
              </w:rPr>
            </w:pP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707C88">
            <w:pPr>
              <w:rPr>
                <w:sz w:val="24"/>
                <w:szCs w:val="24"/>
              </w:rPr>
            </w:pPr>
            <w:r>
              <w:rPr>
                <w:sz w:val="24"/>
                <w:szCs w:val="24"/>
              </w:rPr>
              <w:t>Housing</w:t>
            </w:r>
          </w:p>
        </w:tc>
      </w:tr>
      <w:tr w:rsidR="00416C6F" w:rsidRPr="0053196F" w:rsidTr="00D963ED">
        <w:trPr>
          <w:trHeight w:val="878"/>
        </w:trPr>
        <w:tc>
          <w:tcPr>
            <w:tcW w:w="2444"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72" w:type="dxa"/>
            <w:shd w:val="clear" w:color="auto" w:fill="auto"/>
          </w:tcPr>
          <w:p w:rsidR="00416C6F" w:rsidRPr="0053196F" w:rsidRDefault="003819D3" w:rsidP="00707C88">
            <w:pPr>
              <w:rPr>
                <w:sz w:val="24"/>
                <w:szCs w:val="24"/>
              </w:rPr>
            </w:pPr>
            <w:r>
              <w:rPr>
                <w:sz w:val="24"/>
                <w:szCs w:val="24"/>
              </w:rPr>
              <w:t>Owner promotion</w:t>
            </w:r>
          </w:p>
        </w:tc>
      </w:tr>
      <w:tr w:rsidR="00416C6F" w:rsidRPr="0053196F" w:rsidTr="00D963ED">
        <w:trPr>
          <w:trHeight w:val="976"/>
        </w:trPr>
        <w:tc>
          <w:tcPr>
            <w:tcW w:w="2444" w:type="dxa"/>
            <w:shd w:val="clear" w:color="auto" w:fill="56008C"/>
          </w:tcPr>
          <w:p w:rsidR="00416C6F" w:rsidRPr="00515986" w:rsidRDefault="00D963ED" w:rsidP="00515986">
            <w:pPr>
              <w:rPr>
                <w:color w:val="FFFFFF"/>
                <w:sz w:val="24"/>
                <w:szCs w:val="24"/>
              </w:rPr>
            </w:pPr>
            <w:r>
              <w:rPr>
                <w:color w:val="FFFFFF"/>
                <w:sz w:val="24"/>
                <w:szCs w:val="24"/>
              </w:rPr>
              <w:t>Designations</w:t>
            </w:r>
          </w:p>
        </w:tc>
        <w:tc>
          <w:tcPr>
            <w:tcW w:w="6572" w:type="dxa"/>
            <w:shd w:val="clear" w:color="auto" w:fill="auto"/>
          </w:tcPr>
          <w:p w:rsidR="003819D3" w:rsidRPr="003819D3" w:rsidRDefault="003819D3" w:rsidP="003819D3">
            <w:pPr>
              <w:rPr>
                <w:sz w:val="24"/>
                <w:szCs w:val="24"/>
              </w:rPr>
            </w:pPr>
            <w:r>
              <w:rPr>
                <w:sz w:val="24"/>
                <w:szCs w:val="24"/>
              </w:rPr>
              <w:t>High Weald AONB</w:t>
            </w:r>
          </w:p>
        </w:tc>
      </w:tr>
      <w:tr w:rsidR="00416C6F" w:rsidRPr="0053196F" w:rsidTr="00D963ED">
        <w:tc>
          <w:tcPr>
            <w:tcW w:w="2444" w:type="dxa"/>
            <w:shd w:val="clear" w:color="auto" w:fill="56008C"/>
          </w:tcPr>
          <w:p w:rsidR="00416C6F" w:rsidRPr="0053196F" w:rsidRDefault="00515986" w:rsidP="00707C88">
            <w:pPr>
              <w:rPr>
                <w:color w:val="FFFFFF"/>
                <w:sz w:val="24"/>
                <w:szCs w:val="24"/>
              </w:rPr>
            </w:pPr>
            <w:r>
              <w:rPr>
                <w:color w:val="FFFFFF"/>
                <w:sz w:val="24"/>
                <w:szCs w:val="24"/>
              </w:rPr>
              <w:t>Planning Hist</w:t>
            </w:r>
            <w:r w:rsidR="00416C6F" w:rsidRPr="0053196F">
              <w:rPr>
                <w:color w:val="FFFFFF"/>
                <w:sz w:val="24"/>
                <w:szCs w:val="24"/>
              </w:rPr>
              <w:t>ory</w:t>
            </w:r>
          </w:p>
          <w:p w:rsidR="00416C6F" w:rsidRPr="0053196F" w:rsidRDefault="00416C6F" w:rsidP="00707C88">
            <w:pPr>
              <w:rPr>
                <w:color w:val="FFFFFF"/>
                <w:sz w:val="24"/>
                <w:szCs w:val="24"/>
              </w:rPr>
            </w:pPr>
          </w:p>
        </w:tc>
        <w:tc>
          <w:tcPr>
            <w:tcW w:w="6572"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D963ED">
        <w:trPr>
          <w:trHeight w:val="719"/>
        </w:trPr>
        <w:tc>
          <w:tcPr>
            <w:tcW w:w="2444"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72" w:type="dxa"/>
            <w:shd w:val="clear" w:color="auto" w:fill="auto"/>
          </w:tcPr>
          <w:p w:rsidR="00416C6F" w:rsidRPr="0053196F" w:rsidRDefault="009706DE" w:rsidP="00515986">
            <w:pPr>
              <w:rPr>
                <w:sz w:val="24"/>
                <w:szCs w:val="24"/>
              </w:rPr>
            </w:pPr>
            <w:r>
              <w:rPr>
                <w:sz w:val="24"/>
                <w:szCs w:val="24"/>
              </w:rPr>
              <w:t xml:space="preserve">High Weald AONB. </w:t>
            </w:r>
            <w:r w:rsidR="00FB3261">
              <w:rPr>
                <w:sz w:val="24"/>
                <w:szCs w:val="24"/>
              </w:rPr>
              <w:t xml:space="preserve">Building represents a former agricultural building which presents </w:t>
            </w:r>
            <w:r w:rsidR="00515986">
              <w:rPr>
                <w:sz w:val="24"/>
                <w:szCs w:val="24"/>
              </w:rPr>
              <w:t>a distinct</w:t>
            </w:r>
            <w:r w:rsidR="00FB3261">
              <w:rPr>
                <w:sz w:val="24"/>
                <w:szCs w:val="24"/>
              </w:rPr>
              <w:t xml:space="preserve"> character</w:t>
            </w:r>
            <w:r w:rsidR="00515986">
              <w:rPr>
                <w:sz w:val="24"/>
                <w:szCs w:val="24"/>
              </w:rPr>
              <w:t xml:space="preserve"> and located within a historic context</w:t>
            </w:r>
            <w:r w:rsidR="00A82F2A">
              <w:rPr>
                <w:sz w:val="24"/>
                <w:szCs w:val="24"/>
              </w:rPr>
              <w:t>.</w:t>
            </w:r>
          </w:p>
        </w:tc>
      </w:tr>
      <w:tr w:rsidR="00D963ED" w:rsidRPr="0053196F" w:rsidTr="00D963ED">
        <w:trPr>
          <w:trHeight w:val="719"/>
        </w:trPr>
        <w:tc>
          <w:tcPr>
            <w:tcW w:w="2444" w:type="dxa"/>
            <w:shd w:val="clear" w:color="auto" w:fill="56008C"/>
          </w:tcPr>
          <w:p w:rsidR="00D963ED" w:rsidRDefault="00D963ED" w:rsidP="00C76945">
            <w:pPr>
              <w:rPr>
                <w:color w:val="FFFFFF"/>
                <w:sz w:val="24"/>
                <w:szCs w:val="24"/>
              </w:rPr>
            </w:pPr>
            <w:r>
              <w:rPr>
                <w:color w:val="FFFFFF"/>
                <w:sz w:val="24"/>
                <w:szCs w:val="24"/>
              </w:rPr>
              <w:t>Adjacent uses</w:t>
            </w:r>
          </w:p>
        </w:tc>
        <w:tc>
          <w:tcPr>
            <w:tcW w:w="6572" w:type="dxa"/>
            <w:shd w:val="clear" w:color="auto" w:fill="auto"/>
          </w:tcPr>
          <w:p w:rsidR="00D963ED" w:rsidRPr="0053196F" w:rsidRDefault="00FB3261" w:rsidP="00FB3261">
            <w:pPr>
              <w:rPr>
                <w:sz w:val="24"/>
                <w:szCs w:val="24"/>
              </w:rPr>
            </w:pPr>
            <w:r>
              <w:rPr>
                <w:sz w:val="24"/>
                <w:szCs w:val="24"/>
              </w:rPr>
              <w:t>Housing to the W and to the NE at Station Road. Church to the north</w:t>
            </w:r>
          </w:p>
        </w:tc>
      </w:tr>
      <w:tr w:rsidR="00C76945" w:rsidRPr="0053196F" w:rsidTr="00D963ED">
        <w:trPr>
          <w:trHeight w:val="710"/>
        </w:trPr>
        <w:tc>
          <w:tcPr>
            <w:tcW w:w="2444"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72" w:type="dxa"/>
            <w:shd w:val="clear" w:color="auto" w:fill="auto"/>
          </w:tcPr>
          <w:p w:rsidR="00C76945" w:rsidRPr="0053196F" w:rsidRDefault="00FB3261" w:rsidP="00A82F2A">
            <w:pPr>
              <w:rPr>
                <w:sz w:val="24"/>
                <w:szCs w:val="24"/>
              </w:rPr>
            </w:pPr>
            <w:r>
              <w:rPr>
                <w:sz w:val="24"/>
                <w:szCs w:val="24"/>
              </w:rPr>
              <w:t>Potentially bat habitat but otherwise limited</w:t>
            </w:r>
          </w:p>
        </w:tc>
      </w:tr>
      <w:tr w:rsidR="00416C6F" w:rsidRPr="0053196F" w:rsidTr="00D963ED">
        <w:trPr>
          <w:trHeight w:val="699"/>
        </w:trPr>
        <w:tc>
          <w:tcPr>
            <w:tcW w:w="2444"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72" w:type="dxa"/>
            <w:shd w:val="clear" w:color="auto" w:fill="auto"/>
          </w:tcPr>
          <w:p w:rsidR="00925C09" w:rsidRPr="0053196F" w:rsidRDefault="00FB3261" w:rsidP="00FB3261">
            <w:pPr>
              <w:rPr>
                <w:sz w:val="24"/>
                <w:szCs w:val="24"/>
              </w:rPr>
            </w:pPr>
            <w:r>
              <w:rPr>
                <w:sz w:val="24"/>
                <w:szCs w:val="24"/>
              </w:rPr>
              <w:t>Existing access</w:t>
            </w:r>
          </w:p>
        </w:tc>
      </w:tr>
      <w:tr w:rsidR="00416C6F" w:rsidRPr="0053196F" w:rsidTr="00D963ED">
        <w:tc>
          <w:tcPr>
            <w:tcW w:w="2444" w:type="dxa"/>
            <w:tcBorders>
              <w:bottom w:val="single" w:sz="4" w:space="0" w:color="auto"/>
            </w:tcBorders>
            <w:shd w:val="clear" w:color="auto" w:fill="56008C"/>
          </w:tcPr>
          <w:p w:rsidR="00D963ED" w:rsidRPr="005319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tc>
        <w:tc>
          <w:tcPr>
            <w:tcW w:w="6572" w:type="dxa"/>
            <w:shd w:val="clear" w:color="auto" w:fill="auto"/>
          </w:tcPr>
          <w:p w:rsidR="00416C6F" w:rsidRPr="0053196F" w:rsidRDefault="00925C09" w:rsidP="00707C88">
            <w:pPr>
              <w:rPr>
                <w:sz w:val="24"/>
                <w:szCs w:val="24"/>
              </w:rPr>
            </w:pPr>
            <w:r>
              <w:rPr>
                <w:sz w:val="24"/>
                <w:szCs w:val="24"/>
              </w:rPr>
              <w:t>Flood Zone 1- low risk of flooding</w:t>
            </w:r>
          </w:p>
        </w:tc>
      </w:tr>
      <w:tr w:rsidR="00416C6F" w:rsidRPr="0053196F" w:rsidTr="00D963ED">
        <w:tc>
          <w:tcPr>
            <w:tcW w:w="2444"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72" w:type="dxa"/>
            <w:shd w:val="clear" w:color="auto" w:fill="auto"/>
          </w:tcPr>
          <w:p w:rsidR="00416C6F" w:rsidRDefault="00925C09" w:rsidP="00707C88">
            <w:pPr>
              <w:rPr>
                <w:sz w:val="24"/>
                <w:szCs w:val="24"/>
              </w:rPr>
            </w:pPr>
            <w:r>
              <w:rPr>
                <w:sz w:val="24"/>
                <w:szCs w:val="24"/>
              </w:rPr>
              <w:t>Footpath access</w:t>
            </w:r>
            <w:r w:rsidR="00E27B7F">
              <w:rPr>
                <w:sz w:val="24"/>
                <w:szCs w:val="24"/>
              </w:rPr>
              <w:t xml:space="preserve"> to church, school</w:t>
            </w:r>
            <w:r>
              <w:rPr>
                <w:sz w:val="24"/>
                <w:szCs w:val="24"/>
              </w:rPr>
              <w:t xml:space="preserve"> –</w:t>
            </w:r>
            <w:r w:rsidR="00FB3261">
              <w:rPr>
                <w:sz w:val="24"/>
                <w:szCs w:val="24"/>
              </w:rPr>
              <w:t xml:space="preserve"> </w:t>
            </w:r>
            <w:r>
              <w:rPr>
                <w:sz w:val="24"/>
                <w:szCs w:val="24"/>
              </w:rPr>
              <w:t>20m</w:t>
            </w:r>
          </w:p>
          <w:p w:rsidR="00925C09" w:rsidRDefault="00925C09" w:rsidP="00707C88">
            <w:pPr>
              <w:rPr>
                <w:sz w:val="24"/>
                <w:szCs w:val="24"/>
              </w:rPr>
            </w:pPr>
            <w:r>
              <w:rPr>
                <w:sz w:val="24"/>
                <w:szCs w:val="24"/>
              </w:rPr>
              <w:t>Pub-Recreation ground – 850m via 2 routes</w:t>
            </w:r>
          </w:p>
          <w:p w:rsidR="00515986" w:rsidRPr="0053196F" w:rsidRDefault="00515986" w:rsidP="00707C88">
            <w:pPr>
              <w:rPr>
                <w:sz w:val="24"/>
                <w:szCs w:val="24"/>
              </w:rPr>
            </w:pPr>
            <w:r>
              <w:rPr>
                <w:sz w:val="24"/>
                <w:szCs w:val="24"/>
              </w:rPr>
              <w:t>800</w:t>
            </w:r>
            <w:r>
              <w:rPr>
                <w:sz w:val="24"/>
                <w:szCs w:val="24"/>
              </w:rPr>
              <w:t>m to station</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416C6F" w:rsidRPr="0053196F" w:rsidRDefault="00FB3261" w:rsidP="00707C88">
            <w:pPr>
              <w:rPr>
                <w:sz w:val="24"/>
                <w:szCs w:val="24"/>
              </w:rPr>
            </w:pPr>
            <w:r>
              <w:rPr>
                <w:sz w:val="24"/>
                <w:szCs w:val="24"/>
              </w:rPr>
              <w:t>Archaeologically sensitive area and setting of adjacent listed buildings</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416C6F" w:rsidRPr="0053196F" w:rsidRDefault="00FB3261" w:rsidP="00214109">
            <w:pPr>
              <w:rPr>
                <w:sz w:val="24"/>
                <w:szCs w:val="24"/>
              </w:rPr>
            </w:pPr>
            <w:r>
              <w:rPr>
                <w:sz w:val="24"/>
                <w:szCs w:val="24"/>
              </w:rPr>
              <w:t>Yes, although land for sufficient parking and garden needs to be demonstrated</w:t>
            </w:r>
            <w:r w:rsidR="00E27B7F">
              <w:rPr>
                <w:sz w:val="24"/>
                <w:szCs w:val="24"/>
              </w:rPr>
              <w:t xml:space="preserve"> </w:t>
            </w:r>
          </w:p>
        </w:tc>
      </w:tr>
      <w:tr w:rsidR="00515986" w:rsidRPr="00C76945" w:rsidTr="00515986">
        <w:trPr>
          <w:trHeight w:val="699"/>
        </w:trPr>
        <w:tc>
          <w:tcPr>
            <w:tcW w:w="2444" w:type="dxa"/>
            <w:shd w:val="clear" w:color="auto" w:fill="7030A0"/>
          </w:tcPr>
          <w:p w:rsidR="00515986" w:rsidRDefault="00515986" w:rsidP="00707C88">
            <w:pPr>
              <w:rPr>
                <w:color w:val="FFFFFF" w:themeColor="background1"/>
                <w:sz w:val="24"/>
                <w:szCs w:val="24"/>
              </w:rPr>
            </w:pPr>
            <w:r>
              <w:rPr>
                <w:color w:val="FFFFFF" w:themeColor="background1"/>
                <w:sz w:val="24"/>
                <w:szCs w:val="24"/>
              </w:rPr>
              <w:t xml:space="preserve">Availability </w:t>
            </w:r>
          </w:p>
        </w:tc>
        <w:tc>
          <w:tcPr>
            <w:tcW w:w="6572" w:type="dxa"/>
            <w:shd w:val="clear" w:color="auto" w:fill="FFFFFF" w:themeFill="background1"/>
          </w:tcPr>
          <w:p w:rsidR="00515986" w:rsidRDefault="00515986" w:rsidP="00214109">
            <w:pPr>
              <w:rPr>
                <w:sz w:val="24"/>
                <w:szCs w:val="24"/>
              </w:rPr>
            </w:pPr>
            <w:r>
              <w:rPr>
                <w:sz w:val="24"/>
                <w:szCs w:val="24"/>
              </w:rPr>
              <w:t>Land promoted by owner so available</w:t>
            </w:r>
          </w:p>
        </w:tc>
      </w:tr>
      <w:tr w:rsidR="00C76945" w:rsidRPr="00C76945" w:rsidTr="00D963ED">
        <w:trPr>
          <w:trHeight w:val="2034"/>
        </w:trPr>
        <w:tc>
          <w:tcPr>
            <w:tcW w:w="2444"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lastRenderedPageBreak/>
              <w:t>Summary of site</w:t>
            </w:r>
            <w:r w:rsidR="00C76945" w:rsidRPr="00C76945">
              <w:rPr>
                <w:color w:val="FFFFFF" w:themeColor="background1"/>
                <w:sz w:val="24"/>
                <w:szCs w:val="24"/>
              </w:rPr>
              <w:t xml:space="preserve"> </w:t>
            </w:r>
          </w:p>
        </w:tc>
        <w:tc>
          <w:tcPr>
            <w:tcW w:w="6572" w:type="dxa"/>
            <w:shd w:val="clear" w:color="auto" w:fill="FFFFFF" w:themeFill="background1"/>
          </w:tcPr>
          <w:p w:rsidR="00C76945" w:rsidRPr="00E27B7F" w:rsidRDefault="00FB3261" w:rsidP="00214109">
            <w:pPr>
              <w:rPr>
                <w:sz w:val="24"/>
                <w:szCs w:val="24"/>
              </w:rPr>
            </w:pPr>
            <w:r>
              <w:rPr>
                <w:sz w:val="24"/>
                <w:szCs w:val="24"/>
              </w:rPr>
              <w:t>The site lies within the heart of the village and appears suitable for conversion to residential use subject to appropriate provision of parking and garden land which needs to preserve the setting of the adjacent listed buildings. However, the land does not merit inclusion as a strategic allocation due to its low yield and therefore is matter to be dealt with through the planning process</w:t>
            </w:r>
            <w:r w:rsidR="00515986">
              <w:rPr>
                <w:sz w:val="24"/>
                <w:szCs w:val="24"/>
              </w:rPr>
              <w:t xml:space="preserve"> as a windfall site</w:t>
            </w:r>
            <w:r>
              <w:rPr>
                <w:sz w:val="24"/>
                <w:szCs w:val="24"/>
              </w:rPr>
              <w:t>.</w:t>
            </w:r>
          </w:p>
        </w:tc>
      </w:tr>
      <w:tr w:rsidR="00515986" w:rsidRPr="00C76945" w:rsidTr="00515986">
        <w:trPr>
          <w:trHeight w:val="886"/>
        </w:trPr>
        <w:tc>
          <w:tcPr>
            <w:tcW w:w="2444" w:type="dxa"/>
            <w:shd w:val="clear" w:color="auto" w:fill="7030A0"/>
          </w:tcPr>
          <w:p w:rsidR="00515986" w:rsidRDefault="00515986" w:rsidP="00707C88">
            <w:pPr>
              <w:rPr>
                <w:color w:val="FFFFFF" w:themeColor="background1"/>
                <w:sz w:val="24"/>
                <w:szCs w:val="24"/>
              </w:rPr>
            </w:pPr>
            <w:r>
              <w:rPr>
                <w:color w:val="FFFFFF" w:themeColor="background1"/>
                <w:sz w:val="24"/>
                <w:szCs w:val="24"/>
              </w:rPr>
              <w:t>Recommendation</w:t>
            </w:r>
          </w:p>
        </w:tc>
        <w:tc>
          <w:tcPr>
            <w:tcW w:w="6572" w:type="dxa"/>
            <w:shd w:val="clear" w:color="auto" w:fill="FFFFFF" w:themeFill="background1"/>
          </w:tcPr>
          <w:p w:rsidR="00515986" w:rsidRDefault="00515986" w:rsidP="00214109">
            <w:pPr>
              <w:rPr>
                <w:sz w:val="24"/>
                <w:szCs w:val="24"/>
              </w:rPr>
            </w:pPr>
            <w:r>
              <w:rPr>
                <w:sz w:val="24"/>
                <w:szCs w:val="24"/>
              </w:rPr>
              <w:t>Site should not proceed on the basis it is not of a strategic scale.</w:t>
            </w:r>
            <w:bookmarkStart w:id="0" w:name="_GoBack"/>
            <w:bookmarkEnd w:id="0"/>
          </w:p>
        </w:tc>
      </w:tr>
    </w:tbl>
    <w:p w:rsidR="009475ED" w:rsidRDefault="00515986"/>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1B013A"/>
    <w:rsid w:val="0020049A"/>
    <w:rsid w:val="00214109"/>
    <w:rsid w:val="003819D3"/>
    <w:rsid w:val="00416C6F"/>
    <w:rsid w:val="004D4A33"/>
    <w:rsid w:val="00515986"/>
    <w:rsid w:val="006C6D9D"/>
    <w:rsid w:val="007A613D"/>
    <w:rsid w:val="008E3A10"/>
    <w:rsid w:val="00925C09"/>
    <w:rsid w:val="009706DE"/>
    <w:rsid w:val="00A82F2A"/>
    <w:rsid w:val="00C76945"/>
    <w:rsid w:val="00D963ED"/>
    <w:rsid w:val="00E27B7F"/>
    <w:rsid w:val="00FB32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3</cp:revision>
  <dcterms:created xsi:type="dcterms:W3CDTF">2017-03-18T09:47:00Z</dcterms:created>
  <dcterms:modified xsi:type="dcterms:W3CDTF">2017-03-20T19:50:00Z</dcterms:modified>
</cp:coreProperties>
</file>