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1F441E" w:rsidP="00707C88">
            <w:pPr>
              <w:rPr>
                <w:b/>
                <w:color w:val="FFFFFF"/>
                <w:sz w:val="24"/>
                <w:szCs w:val="24"/>
              </w:rPr>
            </w:pPr>
            <w:r>
              <w:rPr>
                <w:b/>
                <w:color w:val="FFFFFF"/>
                <w:sz w:val="24"/>
                <w:szCs w:val="24"/>
              </w:rPr>
              <w:t>Site Detail5</w:t>
            </w: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shd w:val="clear" w:color="auto" w:fill="auto"/>
          </w:tcPr>
          <w:p w:rsidR="00416C6F" w:rsidRPr="0053196F" w:rsidRDefault="00151ED0" w:rsidP="00707C88">
            <w:pPr>
              <w:rPr>
                <w:sz w:val="24"/>
                <w:szCs w:val="24"/>
              </w:rPr>
            </w:pPr>
            <w:r>
              <w:rPr>
                <w:sz w:val="24"/>
                <w:szCs w:val="24"/>
              </w:rPr>
              <w:t xml:space="preserve">No. </w:t>
            </w:r>
            <w:r w:rsidR="00160A6E">
              <w:rPr>
                <w:sz w:val="24"/>
                <w:szCs w:val="24"/>
              </w:rPr>
              <w:t>4</w:t>
            </w:r>
            <w:r w:rsidR="00E96EC7">
              <w:rPr>
                <w:sz w:val="24"/>
                <w:szCs w:val="24"/>
              </w:rPr>
              <w:t>6.</w:t>
            </w:r>
            <w:r w:rsidR="00247395">
              <w:rPr>
                <w:sz w:val="24"/>
                <w:szCs w:val="24"/>
              </w:rPr>
              <w:t xml:space="preserve"> Crowhurst Park- </w:t>
            </w:r>
            <w:r w:rsidR="001F441E">
              <w:rPr>
                <w:sz w:val="24"/>
                <w:szCs w:val="24"/>
              </w:rPr>
              <w:t>Pelham Gates</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72" w:type="dxa"/>
            <w:shd w:val="clear" w:color="auto" w:fill="auto"/>
          </w:tcPr>
          <w:p w:rsidR="00416C6F" w:rsidRPr="0053196F" w:rsidRDefault="00247395" w:rsidP="00707C88">
            <w:pPr>
              <w:rPr>
                <w:sz w:val="24"/>
                <w:szCs w:val="24"/>
              </w:rPr>
            </w:pPr>
            <w:r>
              <w:rPr>
                <w:sz w:val="24"/>
                <w:szCs w:val="24"/>
              </w:rPr>
              <w:t>0.25ha</w:t>
            </w:r>
          </w:p>
        </w:tc>
      </w:tr>
      <w:tr w:rsidR="00416C6F" w:rsidRPr="0053196F" w:rsidTr="00F966D5">
        <w:trPr>
          <w:trHeight w:val="1268"/>
        </w:trPr>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shd w:val="clear" w:color="auto" w:fill="auto"/>
          </w:tcPr>
          <w:p w:rsidR="00416C6F" w:rsidRPr="0053196F" w:rsidRDefault="00894455" w:rsidP="00247395">
            <w:pPr>
              <w:rPr>
                <w:sz w:val="24"/>
                <w:szCs w:val="24"/>
              </w:rPr>
            </w:pPr>
            <w:r>
              <w:rPr>
                <w:sz w:val="24"/>
                <w:szCs w:val="24"/>
              </w:rPr>
              <w:t>Site with an existing planning consent for 49 second homes (tourism lodges)</w:t>
            </w: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shd w:val="clear" w:color="auto" w:fill="auto"/>
          </w:tcPr>
          <w:p w:rsidR="00416C6F" w:rsidRPr="0053196F" w:rsidRDefault="003819D3" w:rsidP="00212AF1">
            <w:pPr>
              <w:rPr>
                <w:sz w:val="24"/>
                <w:szCs w:val="24"/>
              </w:rPr>
            </w:pPr>
            <w:r>
              <w:rPr>
                <w:sz w:val="24"/>
                <w:szCs w:val="24"/>
              </w:rPr>
              <w:t>Housing</w:t>
            </w:r>
            <w:r w:rsidR="00894455">
              <w:rPr>
                <w:sz w:val="24"/>
                <w:szCs w:val="24"/>
              </w:rPr>
              <w:t xml:space="preserve"> – 12 months of the year by altering consent for 49 homes. </w:t>
            </w:r>
          </w:p>
        </w:tc>
      </w:tr>
      <w:tr w:rsidR="00416C6F" w:rsidRPr="0053196F" w:rsidTr="00D963ED">
        <w:trPr>
          <w:trHeight w:val="878"/>
        </w:trPr>
        <w:tc>
          <w:tcPr>
            <w:tcW w:w="2444"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72" w:type="dxa"/>
            <w:shd w:val="clear" w:color="auto" w:fill="auto"/>
          </w:tcPr>
          <w:p w:rsidR="00416C6F" w:rsidRPr="0053196F" w:rsidRDefault="00E72931" w:rsidP="00707C88">
            <w:pPr>
              <w:rPr>
                <w:sz w:val="24"/>
                <w:szCs w:val="24"/>
              </w:rPr>
            </w:pPr>
            <w:r>
              <w:rPr>
                <w:sz w:val="24"/>
                <w:szCs w:val="24"/>
              </w:rPr>
              <w:t>Proposed by owner</w:t>
            </w:r>
          </w:p>
        </w:tc>
      </w:tr>
      <w:tr w:rsidR="00416C6F" w:rsidRPr="0053196F" w:rsidTr="00D963ED">
        <w:trPr>
          <w:trHeight w:val="976"/>
        </w:trPr>
        <w:tc>
          <w:tcPr>
            <w:tcW w:w="2444" w:type="dxa"/>
            <w:shd w:val="clear" w:color="auto" w:fill="56008C"/>
          </w:tcPr>
          <w:p w:rsidR="00416C6F" w:rsidRDefault="00D963ED" w:rsidP="00707C88">
            <w:pPr>
              <w:rPr>
                <w:color w:val="FFFFFF"/>
                <w:sz w:val="24"/>
                <w:szCs w:val="24"/>
              </w:rPr>
            </w:pPr>
            <w:r>
              <w:rPr>
                <w:color w:val="FFFFFF"/>
                <w:sz w:val="24"/>
                <w:szCs w:val="24"/>
              </w:rPr>
              <w:t>Designations</w:t>
            </w:r>
          </w:p>
        </w:tc>
        <w:tc>
          <w:tcPr>
            <w:tcW w:w="6572" w:type="dxa"/>
            <w:shd w:val="clear" w:color="auto" w:fill="auto"/>
          </w:tcPr>
          <w:p w:rsidR="00D51EC3" w:rsidRDefault="00450CBE" w:rsidP="003C578E">
            <w:pPr>
              <w:rPr>
                <w:sz w:val="24"/>
                <w:szCs w:val="24"/>
              </w:rPr>
            </w:pPr>
            <w:r>
              <w:rPr>
                <w:sz w:val="24"/>
                <w:szCs w:val="24"/>
              </w:rPr>
              <w:t>AONB</w:t>
            </w:r>
            <w:r w:rsidR="00D51EC3">
              <w:rPr>
                <w:sz w:val="24"/>
                <w:szCs w:val="24"/>
              </w:rPr>
              <w:t xml:space="preserve"> </w:t>
            </w:r>
          </w:p>
          <w:p w:rsidR="00247395" w:rsidRPr="003819D3" w:rsidRDefault="00247395" w:rsidP="003C578E">
            <w:pPr>
              <w:rPr>
                <w:sz w:val="24"/>
                <w:szCs w:val="24"/>
              </w:rPr>
            </w:pPr>
            <w:r>
              <w:rPr>
                <w:sz w:val="24"/>
                <w:szCs w:val="24"/>
              </w:rPr>
              <w:t>Strategic Gap</w:t>
            </w: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shd w:val="clear" w:color="auto" w:fill="auto"/>
          </w:tcPr>
          <w:p w:rsidR="00416C6F" w:rsidRPr="0053196F" w:rsidRDefault="00894455" w:rsidP="00707C88">
            <w:pPr>
              <w:rPr>
                <w:sz w:val="24"/>
                <w:szCs w:val="24"/>
              </w:rPr>
            </w:pPr>
            <w:r>
              <w:rPr>
                <w:sz w:val="24"/>
                <w:szCs w:val="24"/>
              </w:rPr>
              <w:t>Planning consent RR/2008/2930 – 49 Lodges for Holiday use and restricted occupation</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D963ED">
        <w:trPr>
          <w:trHeight w:val="719"/>
        </w:trPr>
        <w:tc>
          <w:tcPr>
            <w:tcW w:w="2444"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72" w:type="dxa"/>
            <w:shd w:val="clear" w:color="auto" w:fill="auto"/>
          </w:tcPr>
          <w:p w:rsidR="00416C6F" w:rsidRPr="0053196F" w:rsidRDefault="00E72931" w:rsidP="00894455">
            <w:pPr>
              <w:rPr>
                <w:sz w:val="24"/>
                <w:szCs w:val="24"/>
              </w:rPr>
            </w:pPr>
            <w:r>
              <w:rPr>
                <w:sz w:val="24"/>
                <w:szCs w:val="24"/>
              </w:rPr>
              <w:t xml:space="preserve">Within the AONB but is </w:t>
            </w:r>
            <w:r w:rsidR="00247395">
              <w:rPr>
                <w:sz w:val="24"/>
                <w:szCs w:val="24"/>
              </w:rPr>
              <w:t xml:space="preserve">land </w:t>
            </w:r>
            <w:r w:rsidR="00894455">
              <w:rPr>
                <w:sz w:val="24"/>
                <w:szCs w:val="24"/>
              </w:rPr>
              <w:t xml:space="preserve">to the south of the main complex and land which has consent for 49 </w:t>
            </w:r>
            <w:r w:rsidR="00E96EC7">
              <w:rPr>
                <w:sz w:val="24"/>
                <w:szCs w:val="24"/>
              </w:rPr>
              <w:t>tourism l</w:t>
            </w:r>
            <w:r w:rsidR="00894455">
              <w:rPr>
                <w:sz w:val="24"/>
                <w:szCs w:val="24"/>
              </w:rPr>
              <w:t xml:space="preserve">odges which is in the process of being constructed. The land lies within the AONB and was considered acceptable by the District Council as being suitable for new permanent construction in this part of the park. The principle of development and the presence of buildings </w:t>
            </w:r>
            <w:r w:rsidR="00E96EC7">
              <w:rPr>
                <w:sz w:val="24"/>
                <w:szCs w:val="24"/>
              </w:rPr>
              <w:t xml:space="preserve">this </w:t>
            </w:r>
            <w:r w:rsidR="00894455">
              <w:rPr>
                <w:sz w:val="24"/>
                <w:szCs w:val="24"/>
              </w:rPr>
              <w:t xml:space="preserve">has already been established by the </w:t>
            </w:r>
            <w:r w:rsidR="00E96EC7">
              <w:rPr>
                <w:sz w:val="24"/>
                <w:szCs w:val="24"/>
              </w:rPr>
              <w:t xml:space="preserve">planning consent </w:t>
            </w:r>
          </w:p>
        </w:tc>
      </w:tr>
      <w:tr w:rsidR="00D963ED" w:rsidRPr="0053196F" w:rsidTr="00D963ED">
        <w:trPr>
          <w:trHeight w:val="719"/>
        </w:trPr>
        <w:tc>
          <w:tcPr>
            <w:tcW w:w="2444" w:type="dxa"/>
            <w:shd w:val="clear" w:color="auto" w:fill="56008C"/>
          </w:tcPr>
          <w:p w:rsidR="00D963ED" w:rsidRDefault="00D963ED" w:rsidP="00C76945">
            <w:pPr>
              <w:rPr>
                <w:color w:val="FFFFFF"/>
                <w:sz w:val="24"/>
                <w:szCs w:val="24"/>
              </w:rPr>
            </w:pPr>
            <w:r>
              <w:rPr>
                <w:color w:val="FFFFFF"/>
                <w:sz w:val="24"/>
                <w:szCs w:val="24"/>
              </w:rPr>
              <w:t>Adjacent uses</w:t>
            </w:r>
          </w:p>
        </w:tc>
        <w:tc>
          <w:tcPr>
            <w:tcW w:w="6572" w:type="dxa"/>
            <w:shd w:val="clear" w:color="auto" w:fill="auto"/>
          </w:tcPr>
          <w:p w:rsidR="00D963ED" w:rsidRPr="0053196F" w:rsidRDefault="00894455" w:rsidP="00894455">
            <w:pPr>
              <w:rPr>
                <w:sz w:val="24"/>
                <w:szCs w:val="24"/>
              </w:rPr>
            </w:pPr>
            <w:r>
              <w:rPr>
                <w:sz w:val="24"/>
                <w:szCs w:val="24"/>
              </w:rPr>
              <w:t xml:space="preserve">Tourism </w:t>
            </w:r>
            <w:r w:rsidR="00D74AC8">
              <w:rPr>
                <w:sz w:val="24"/>
                <w:szCs w:val="24"/>
              </w:rPr>
              <w:t>including leisure, shop and food/drink uses</w:t>
            </w:r>
          </w:p>
        </w:tc>
      </w:tr>
      <w:tr w:rsidR="00C76945" w:rsidRPr="0053196F" w:rsidTr="00D963ED">
        <w:trPr>
          <w:trHeight w:val="710"/>
        </w:trPr>
        <w:tc>
          <w:tcPr>
            <w:tcW w:w="2444"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72" w:type="dxa"/>
            <w:shd w:val="clear" w:color="auto" w:fill="auto"/>
          </w:tcPr>
          <w:p w:rsidR="00DD7712" w:rsidRPr="0053196F" w:rsidRDefault="00D52737" w:rsidP="00894455">
            <w:pPr>
              <w:rPr>
                <w:sz w:val="24"/>
                <w:szCs w:val="24"/>
              </w:rPr>
            </w:pPr>
            <w:r>
              <w:rPr>
                <w:sz w:val="24"/>
                <w:szCs w:val="24"/>
              </w:rPr>
              <w:t>Hedgerow, grassland</w:t>
            </w:r>
            <w:r w:rsidR="007302BC">
              <w:rPr>
                <w:sz w:val="24"/>
                <w:szCs w:val="24"/>
              </w:rPr>
              <w:t xml:space="preserve">, </w:t>
            </w:r>
            <w:r w:rsidR="00340D19">
              <w:rPr>
                <w:sz w:val="24"/>
                <w:szCs w:val="24"/>
              </w:rPr>
              <w:t>woodland</w:t>
            </w:r>
            <w:r w:rsidR="00247395">
              <w:rPr>
                <w:sz w:val="24"/>
                <w:szCs w:val="24"/>
              </w:rPr>
              <w:t xml:space="preserve"> </w:t>
            </w:r>
            <w:r w:rsidR="00894455">
              <w:rPr>
                <w:sz w:val="24"/>
                <w:szCs w:val="24"/>
              </w:rPr>
              <w:t>on boundaries of site</w:t>
            </w:r>
            <w:r w:rsidR="00D74AC8">
              <w:rPr>
                <w:sz w:val="24"/>
                <w:szCs w:val="24"/>
              </w:rPr>
              <w:t>, ponds so may have potential for GCN</w:t>
            </w:r>
            <w:r w:rsidR="00247395">
              <w:rPr>
                <w:sz w:val="24"/>
                <w:szCs w:val="24"/>
              </w:rPr>
              <w:t xml:space="preserve"> </w:t>
            </w:r>
          </w:p>
        </w:tc>
      </w:tr>
      <w:tr w:rsidR="00416C6F" w:rsidRPr="0053196F" w:rsidTr="00D963ED">
        <w:trPr>
          <w:trHeight w:val="699"/>
        </w:trPr>
        <w:tc>
          <w:tcPr>
            <w:tcW w:w="2444"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72" w:type="dxa"/>
            <w:shd w:val="clear" w:color="auto" w:fill="auto"/>
          </w:tcPr>
          <w:p w:rsidR="007B7E73" w:rsidRPr="0053196F" w:rsidRDefault="00340D19" w:rsidP="00247395">
            <w:pPr>
              <w:rPr>
                <w:sz w:val="24"/>
                <w:szCs w:val="24"/>
              </w:rPr>
            </w:pPr>
            <w:r>
              <w:rPr>
                <w:sz w:val="24"/>
                <w:szCs w:val="24"/>
              </w:rPr>
              <w:t xml:space="preserve">Site </w:t>
            </w:r>
            <w:r w:rsidR="00D74AC8">
              <w:rPr>
                <w:sz w:val="24"/>
                <w:szCs w:val="24"/>
              </w:rPr>
              <w:t>would access the main access to Crowhurst Park and thus is an established access point</w:t>
            </w:r>
          </w:p>
        </w:tc>
      </w:tr>
      <w:tr w:rsidR="00416C6F" w:rsidRPr="0053196F" w:rsidTr="00D963ED">
        <w:tc>
          <w:tcPr>
            <w:tcW w:w="2444"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72" w:type="dxa"/>
            <w:shd w:val="clear" w:color="auto" w:fill="auto"/>
          </w:tcPr>
          <w:p w:rsidR="00416C6F" w:rsidRPr="0053196F" w:rsidRDefault="00247395" w:rsidP="00247395">
            <w:pPr>
              <w:rPr>
                <w:sz w:val="24"/>
                <w:szCs w:val="24"/>
              </w:rPr>
            </w:pPr>
            <w:r>
              <w:rPr>
                <w:sz w:val="24"/>
                <w:szCs w:val="24"/>
              </w:rPr>
              <w:t>Flood Zone 1 so low risk of flooding</w:t>
            </w:r>
            <w:r w:rsidR="002513A1">
              <w:rPr>
                <w:sz w:val="24"/>
                <w:szCs w:val="24"/>
              </w:rPr>
              <w:t xml:space="preserve"> </w:t>
            </w:r>
          </w:p>
        </w:tc>
      </w:tr>
      <w:tr w:rsidR="00416C6F" w:rsidRPr="0053196F" w:rsidTr="00D963ED">
        <w:tc>
          <w:tcPr>
            <w:tcW w:w="2444" w:type="dxa"/>
            <w:shd w:val="clear" w:color="auto" w:fill="56008C"/>
          </w:tcPr>
          <w:p w:rsidR="00416C6F" w:rsidRDefault="00416C6F" w:rsidP="00707C88">
            <w:pPr>
              <w:rPr>
                <w:color w:val="FFFFFF"/>
                <w:sz w:val="24"/>
                <w:szCs w:val="24"/>
              </w:rPr>
            </w:pPr>
            <w:r>
              <w:rPr>
                <w:color w:val="FFFFFF"/>
                <w:sz w:val="24"/>
                <w:szCs w:val="24"/>
              </w:rPr>
              <w:t>Distance from the village core</w:t>
            </w:r>
          </w:p>
          <w:p w:rsidR="00D963ED" w:rsidRPr="0053196F" w:rsidRDefault="00D963ED" w:rsidP="00707C88">
            <w:pPr>
              <w:rPr>
                <w:color w:val="FFFFFF"/>
                <w:sz w:val="24"/>
                <w:szCs w:val="24"/>
              </w:rPr>
            </w:pPr>
          </w:p>
        </w:tc>
        <w:tc>
          <w:tcPr>
            <w:tcW w:w="6572" w:type="dxa"/>
            <w:shd w:val="clear" w:color="auto" w:fill="auto"/>
          </w:tcPr>
          <w:p w:rsidR="00502953" w:rsidRDefault="00502953" w:rsidP="00502953">
            <w:pPr>
              <w:rPr>
                <w:sz w:val="24"/>
                <w:szCs w:val="24"/>
              </w:rPr>
            </w:pPr>
            <w:r>
              <w:rPr>
                <w:sz w:val="24"/>
                <w:szCs w:val="24"/>
              </w:rPr>
              <w:t xml:space="preserve">Distance from school/church </w:t>
            </w:r>
            <w:r w:rsidR="00D74AC8">
              <w:rPr>
                <w:sz w:val="24"/>
                <w:szCs w:val="24"/>
              </w:rPr>
              <w:t>3500</w:t>
            </w:r>
            <w:r w:rsidR="00340D19">
              <w:rPr>
                <w:sz w:val="24"/>
                <w:szCs w:val="24"/>
              </w:rPr>
              <w:t>m via</w:t>
            </w:r>
            <w:r>
              <w:rPr>
                <w:sz w:val="24"/>
                <w:szCs w:val="24"/>
              </w:rPr>
              <w:t xml:space="preserve"> footpath</w:t>
            </w:r>
          </w:p>
          <w:p w:rsidR="00925C09" w:rsidRPr="0053196F" w:rsidRDefault="00502953" w:rsidP="007302BC">
            <w:pPr>
              <w:rPr>
                <w:sz w:val="24"/>
                <w:szCs w:val="24"/>
              </w:rPr>
            </w:pPr>
            <w:r>
              <w:rPr>
                <w:sz w:val="24"/>
                <w:szCs w:val="24"/>
              </w:rPr>
              <w:t xml:space="preserve">Pub-Recreation ground </w:t>
            </w:r>
            <w:r w:rsidR="00247395">
              <w:rPr>
                <w:sz w:val="24"/>
                <w:szCs w:val="24"/>
              </w:rPr>
              <w:t>4500</w:t>
            </w:r>
            <w:r>
              <w:rPr>
                <w:sz w:val="24"/>
                <w:szCs w:val="24"/>
              </w:rPr>
              <w:t>m–</w:t>
            </w:r>
            <w:r w:rsidR="007063A7">
              <w:rPr>
                <w:sz w:val="24"/>
                <w:szCs w:val="24"/>
              </w:rPr>
              <w:t>via 1066</w:t>
            </w:r>
            <w:r>
              <w:rPr>
                <w:sz w:val="24"/>
                <w:szCs w:val="24"/>
              </w:rPr>
              <w:t xml:space="preserve"> footpath</w:t>
            </w:r>
          </w:p>
        </w:tc>
      </w:tr>
      <w:tr w:rsidR="00416C6F" w:rsidRPr="0053196F" w:rsidTr="00D963ED">
        <w:tc>
          <w:tcPr>
            <w:tcW w:w="2444" w:type="dxa"/>
            <w:shd w:val="clear" w:color="auto" w:fill="56008C"/>
          </w:tcPr>
          <w:p w:rsidR="00416C6F" w:rsidRDefault="00416C6F" w:rsidP="00707C88">
            <w:pPr>
              <w:rPr>
                <w:color w:val="FFFFFF"/>
                <w:sz w:val="24"/>
                <w:szCs w:val="24"/>
              </w:rPr>
            </w:pPr>
            <w:r>
              <w:rPr>
                <w:color w:val="FFFFFF"/>
                <w:sz w:val="24"/>
                <w:szCs w:val="24"/>
              </w:rPr>
              <w:lastRenderedPageBreak/>
              <w:t>Distance to the railway station</w:t>
            </w:r>
          </w:p>
          <w:p w:rsidR="00D963ED" w:rsidRDefault="00D963ED" w:rsidP="00707C88">
            <w:pPr>
              <w:rPr>
                <w:color w:val="FFFFFF"/>
                <w:sz w:val="24"/>
                <w:szCs w:val="24"/>
              </w:rPr>
            </w:pPr>
          </w:p>
        </w:tc>
        <w:tc>
          <w:tcPr>
            <w:tcW w:w="6572" w:type="dxa"/>
            <w:shd w:val="clear" w:color="auto" w:fill="auto"/>
          </w:tcPr>
          <w:p w:rsidR="00416C6F" w:rsidRDefault="00247395" w:rsidP="007F22FF">
            <w:pPr>
              <w:rPr>
                <w:sz w:val="24"/>
                <w:szCs w:val="24"/>
              </w:rPr>
            </w:pPr>
            <w:r>
              <w:rPr>
                <w:sz w:val="24"/>
                <w:szCs w:val="24"/>
              </w:rPr>
              <w:t>3200</w:t>
            </w:r>
            <w:r w:rsidR="00502953">
              <w:rPr>
                <w:sz w:val="24"/>
                <w:szCs w:val="24"/>
              </w:rPr>
              <w:t>m to station</w:t>
            </w:r>
          </w:p>
          <w:p w:rsidR="00247395" w:rsidRPr="0053196F" w:rsidRDefault="00247395" w:rsidP="00247395">
            <w:pPr>
              <w:rPr>
                <w:sz w:val="24"/>
                <w:szCs w:val="24"/>
              </w:rPr>
            </w:pPr>
            <w:r>
              <w:rPr>
                <w:sz w:val="24"/>
                <w:szCs w:val="24"/>
              </w:rPr>
              <w:t>Bus stops are available on the A2100 to the east</w:t>
            </w:r>
          </w:p>
        </w:tc>
      </w:tr>
      <w:tr w:rsidR="00416C6F" w:rsidRPr="0053196F" w:rsidTr="00D963ED">
        <w:tc>
          <w:tcPr>
            <w:tcW w:w="2444"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tcBorders>
              <w:bottom w:val="single" w:sz="4" w:space="0" w:color="auto"/>
            </w:tcBorders>
            <w:shd w:val="clear" w:color="auto" w:fill="auto"/>
          </w:tcPr>
          <w:p w:rsidR="00247395" w:rsidRDefault="00247395" w:rsidP="007302BC">
            <w:pPr>
              <w:rPr>
                <w:sz w:val="24"/>
                <w:szCs w:val="24"/>
              </w:rPr>
            </w:pPr>
            <w:r>
              <w:rPr>
                <w:sz w:val="24"/>
                <w:szCs w:val="24"/>
              </w:rPr>
              <w:t>Site is within Crowhurst Park so compatibility with tourism facilities is a consideration</w:t>
            </w:r>
            <w:r w:rsidR="00D74AC8">
              <w:rPr>
                <w:sz w:val="24"/>
                <w:szCs w:val="24"/>
              </w:rPr>
              <w:t xml:space="preserve"> and policies which seek to protect tourism within the RDC Core Strategy </w:t>
            </w:r>
          </w:p>
          <w:p w:rsidR="00DC7D89" w:rsidRPr="0053196F" w:rsidRDefault="00340D19" w:rsidP="007302BC">
            <w:pPr>
              <w:rPr>
                <w:sz w:val="24"/>
                <w:szCs w:val="24"/>
              </w:rPr>
            </w:pPr>
            <w:r>
              <w:rPr>
                <w:sz w:val="24"/>
                <w:szCs w:val="24"/>
              </w:rPr>
              <w:t xml:space="preserve"> </w:t>
            </w:r>
            <w:r w:rsidR="007302BC">
              <w:rPr>
                <w:sz w:val="24"/>
                <w:szCs w:val="24"/>
              </w:rPr>
              <w:t xml:space="preserve"> </w:t>
            </w:r>
          </w:p>
        </w:tc>
      </w:tr>
      <w:tr w:rsidR="00416C6F" w:rsidRPr="0053196F" w:rsidTr="00D963ED">
        <w:tc>
          <w:tcPr>
            <w:tcW w:w="2444"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tcBorders>
              <w:bottom w:val="single" w:sz="4" w:space="0" w:color="auto"/>
            </w:tcBorders>
            <w:shd w:val="clear" w:color="auto" w:fill="auto"/>
          </w:tcPr>
          <w:p w:rsidR="00623E1A" w:rsidRPr="0053196F" w:rsidRDefault="00247395" w:rsidP="00214109">
            <w:pPr>
              <w:rPr>
                <w:sz w:val="24"/>
                <w:szCs w:val="24"/>
              </w:rPr>
            </w:pPr>
            <w:r>
              <w:rPr>
                <w:sz w:val="24"/>
                <w:szCs w:val="24"/>
              </w:rPr>
              <w:t>Access – Further investigation required.</w:t>
            </w:r>
          </w:p>
        </w:tc>
      </w:tr>
      <w:tr w:rsidR="00902ABC" w:rsidRPr="0053196F" w:rsidTr="00D963ED">
        <w:tc>
          <w:tcPr>
            <w:tcW w:w="2444" w:type="dxa"/>
            <w:tcBorders>
              <w:bottom w:val="single" w:sz="4" w:space="0" w:color="auto"/>
            </w:tcBorders>
            <w:shd w:val="clear" w:color="auto" w:fill="56008C"/>
          </w:tcPr>
          <w:p w:rsidR="00902ABC" w:rsidRDefault="00902ABC" w:rsidP="00707C88">
            <w:pPr>
              <w:rPr>
                <w:color w:val="FFFFFF"/>
                <w:sz w:val="24"/>
                <w:szCs w:val="24"/>
              </w:rPr>
            </w:pPr>
            <w:r>
              <w:rPr>
                <w:color w:val="FFFFFF"/>
                <w:sz w:val="24"/>
                <w:szCs w:val="24"/>
              </w:rPr>
              <w:t>Available/Deliverable</w:t>
            </w:r>
          </w:p>
        </w:tc>
        <w:tc>
          <w:tcPr>
            <w:tcW w:w="6572" w:type="dxa"/>
            <w:tcBorders>
              <w:bottom w:val="single" w:sz="4" w:space="0" w:color="auto"/>
            </w:tcBorders>
            <w:shd w:val="clear" w:color="auto" w:fill="auto"/>
          </w:tcPr>
          <w:p w:rsidR="00902ABC" w:rsidRDefault="00902ABC" w:rsidP="00D74AC8">
            <w:pPr>
              <w:rPr>
                <w:sz w:val="24"/>
                <w:szCs w:val="24"/>
              </w:rPr>
            </w:pPr>
            <w:r>
              <w:rPr>
                <w:sz w:val="24"/>
                <w:szCs w:val="24"/>
              </w:rPr>
              <w:t xml:space="preserve">Site </w:t>
            </w:r>
            <w:r w:rsidR="007063A7">
              <w:rPr>
                <w:sz w:val="24"/>
                <w:szCs w:val="24"/>
              </w:rPr>
              <w:t xml:space="preserve">promoted by </w:t>
            </w:r>
            <w:r w:rsidR="00D74AC8">
              <w:rPr>
                <w:sz w:val="24"/>
                <w:szCs w:val="24"/>
              </w:rPr>
              <w:t>owner so achievable</w:t>
            </w:r>
          </w:p>
        </w:tc>
      </w:tr>
      <w:tr w:rsidR="00C76945" w:rsidRPr="00C76945" w:rsidTr="007063A7">
        <w:trPr>
          <w:trHeight w:val="2271"/>
        </w:trPr>
        <w:tc>
          <w:tcPr>
            <w:tcW w:w="2444"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72" w:type="dxa"/>
            <w:shd w:val="clear" w:color="auto" w:fill="FFFFFF" w:themeFill="background1"/>
          </w:tcPr>
          <w:p w:rsidR="00C76945" w:rsidRPr="00E27B7F" w:rsidRDefault="00D52737" w:rsidP="00247395">
            <w:pPr>
              <w:rPr>
                <w:sz w:val="24"/>
                <w:szCs w:val="24"/>
              </w:rPr>
            </w:pPr>
            <w:r>
              <w:rPr>
                <w:sz w:val="24"/>
                <w:szCs w:val="24"/>
              </w:rPr>
              <w:t xml:space="preserve">The site is </w:t>
            </w:r>
            <w:r w:rsidR="00247395">
              <w:rPr>
                <w:sz w:val="24"/>
                <w:szCs w:val="24"/>
              </w:rPr>
              <w:t>located some distance from the main village but has facilities on site at Crowhurst Park which would also have to be made available to occup</w:t>
            </w:r>
            <w:r w:rsidR="00D74AC8">
              <w:rPr>
                <w:sz w:val="24"/>
                <w:szCs w:val="24"/>
              </w:rPr>
              <w:t>ier and b</w:t>
            </w:r>
            <w:r w:rsidR="00247395">
              <w:rPr>
                <w:sz w:val="24"/>
                <w:szCs w:val="24"/>
              </w:rPr>
              <w:t xml:space="preserve">us routes are available to the east. However, the site is detached from the </w:t>
            </w:r>
            <w:r w:rsidR="00D17395">
              <w:rPr>
                <w:sz w:val="24"/>
                <w:szCs w:val="24"/>
              </w:rPr>
              <w:t>village and thus the occupiers c</w:t>
            </w:r>
            <w:r w:rsidR="00247395">
              <w:rPr>
                <w:sz w:val="24"/>
                <w:szCs w:val="24"/>
              </w:rPr>
              <w:t>ould feel detached from villag</w:t>
            </w:r>
            <w:r w:rsidR="00D17395">
              <w:rPr>
                <w:sz w:val="24"/>
                <w:szCs w:val="24"/>
              </w:rPr>
              <w:t>e activities and facilities due to the distances involve</w:t>
            </w:r>
            <w:r w:rsidR="00D74AC8">
              <w:rPr>
                <w:sz w:val="24"/>
                <w:szCs w:val="24"/>
              </w:rPr>
              <w:t>d. The District Council has already considered the lands</w:t>
            </w:r>
            <w:r w:rsidR="00E96EC7">
              <w:rPr>
                <w:sz w:val="24"/>
                <w:szCs w:val="24"/>
              </w:rPr>
              <w:t xml:space="preserve">cape impact for the buildings to be </w:t>
            </w:r>
            <w:r w:rsidR="00D74AC8">
              <w:rPr>
                <w:sz w:val="24"/>
                <w:szCs w:val="24"/>
              </w:rPr>
              <w:t xml:space="preserve">acceptable in this location but the restriction on the buildings to tourism use and the protective policies that apply, mean the site would be contrary to the policies of the Core Strategy and thus would likely be subject to objections from the District Council. </w:t>
            </w:r>
          </w:p>
        </w:tc>
      </w:tr>
      <w:tr w:rsidR="00E96EC7" w:rsidRPr="00C76945" w:rsidTr="00E96EC7">
        <w:trPr>
          <w:trHeight w:val="1815"/>
        </w:trPr>
        <w:tc>
          <w:tcPr>
            <w:tcW w:w="2444" w:type="dxa"/>
            <w:shd w:val="clear" w:color="auto" w:fill="7030A0"/>
          </w:tcPr>
          <w:p w:rsidR="00E96EC7" w:rsidRDefault="00E96EC7" w:rsidP="00707C88">
            <w:pPr>
              <w:rPr>
                <w:color w:val="FFFFFF" w:themeColor="background1"/>
                <w:sz w:val="24"/>
                <w:szCs w:val="24"/>
              </w:rPr>
            </w:pPr>
            <w:r>
              <w:rPr>
                <w:color w:val="FFFFFF" w:themeColor="background1"/>
                <w:sz w:val="24"/>
                <w:szCs w:val="24"/>
              </w:rPr>
              <w:t>Recommendation</w:t>
            </w:r>
          </w:p>
        </w:tc>
        <w:tc>
          <w:tcPr>
            <w:tcW w:w="6572" w:type="dxa"/>
            <w:shd w:val="clear" w:color="auto" w:fill="FFFFFF" w:themeFill="background1"/>
          </w:tcPr>
          <w:p w:rsidR="00E96EC7" w:rsidRDefault="00E96EC7" w:rsidP="00247395">
            <w:pPr>
              <w:rPr>
                <w:sz w:val="24"/>
                <w:szCs w:val="24"/>
              </w:rPr>
            </w:pPr>
            <w:r>
              <w:rPr>
                <w:sz w:val="24"/>
                <w:szCs w:val="24"/>
              </w:rPr>
              <w:t>Due to the tourism policies that exist in the Core Strategy, the loss of the lodges as holiday accommodation would be contrary to the strategic policies and therefore at this stage, the use for mainstream housing would not be appropriate for the local plan.</w:t>
            </w:r>
          </w:p>
        </w:tc>
      </w:tr>
    </w:tbl>
    <w:p w:rsidR="009475ED" w:rsidRDefault="00AE25A3"/>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0B38B6"/>
    <w:rsid w:val="00136B38"/>
    <w:rsid w:val="00151ED0"/>
    <w:rsid w:val="00160A6E"/>
    <w:rsid w:val="00166D9F"/>
    <w:rsid w:val="001B013A"/>
    <w:rsid w:val="001D139F"/>
    <w:rsid w:val="001F441E"/>
    <w:rsid w:val="0020049A"/>
    <w:rsid w:val="00212AF1"/>
    <w:rsid w:val="00214109"/>
    <w:rsid w:val="00247395"/>
    <w:rsid w:val="002513A1"/>
    <w:rsid w:val="00251BE1"/>
    <w:rsid w:val="002B57EF"/>
    <w:rsid w:val="00340D19"/>
    <w:rsid w:val="003819D3"/>
    <w:rsid w:val="003C578E"/>
    <w:rsid w:val="00416C6F"/>
    <w:rsid w:val="00432BF9"/>
    <w:rsid w:val="00434AE6"/>
    <w:rsid w:val="00450CBE"/>
    <w:rsid w:val="004778CB"/>
    <w:rsid w:val="004844FE"/>
    <w:rsid w:val="004C2F13"/>
    <w:rsid w:val="004D4A33"/>
    <w:rsid w:val="00501BFC"/>
    <w:rsid w:val="00502953"/>
    <w:rsid w:val="00505867"/>
    <w:rsid w:val="005344F0"/>
    <w:rsid w:val="005C63FA"/>
    <w:rsid w:val="005F19C2"/>
    <w:rsid w:val="005F2E06"/>
    <w:rsid w:val="00623E1A"/>
    <w:rsid w:val="00626F99"/>
    <w:rsid w:val="00665C1B"/>
    <w:rsid w:val="00681F92"/>
    <w:rsid w:val="00693926"/>
    <w:rsid w:val="006A2911"/>
    <w:rsid w:val="006B6AF5"/>
    <w:rsid w:val="006C6D9D"/>
    <w:rsid w:val="006D52DF"/>
    <w:rsid w:val="006F0A73"/>
    <w:rsid w:val="007063A7"/>
    <w:rsid w:val="007302BC"/>
    <w:rsid w:val="00760B24"/>
    <w:rsid w:val="00774A6F"/>
    <w:rsid w:val="007A613D"/>
    <w:rsid w:val="007B7E73"/>
    <w:rsid w:val="007C52D3"/>
    <w:rsid w:val="007F22FF"/>
    <w:rsid w:val="007F34DA"/>
    <w:rsid w:val="00801993"/>
    <w:rsid w:val="0083364A"/>
    <w:rsid w:val="00894455"/>
    <w:rsid w:val="008A7EF9"/>
    <w:rsid w:val="008C6E95"/>
    <w:rsid w:val="008E3A10"/>
    <w:rsid w:val="00902ABC"/>
    <w:rsid w:val="00925C09"/>
    <w:rsid w:val="009706DE"/>
    <w:rsid w:val="00983909"/>
    <w:rsid w:val="009965AA"/>
    <w:rsid w:val="009E5CED"/>
    <w:rsid w:val="00A82F2A"/>
    <w:rsid w:val="00AE25A3"/>
    <w:rsid w:val="00AF22D4"/>
    <w:rsid w:val="00B65A99"/>
    <w:rsid w:val="00C3391C"/>
    <w:rsid w:val="00C76945"/>
    <w:rsid w:val="00C845A5"/>
    <w:rsid w:val="00CC5DFE"/>
    <w:rsid w:val="00D17395"/>
    <w:rsid w:val="00D51EC3"/>
    <w:rsid w:val="00D52737"/>
    <w:rsid w:val="00D74AC8"/>
    <w:rsid w:val="00D963ED"/>
    <w:rsid w:val="00DC0FD2"/>
    <w:rsid w:val="00DC7D89"/>
    <w:rsid w:val="00DD7712"/>
    <w:rsid w:val="00DE309F"/>
    <w:rsid w:val="00E27B7F"/>
    <w:rsid w:val="00E4785B"/>
    <w:rsid w:val="00E72931"/>
    <w:rsid w:val="00E81743"/>
    <w:rsid w:val="00E96EC7"/>
    <w:rsid w:val="00F06A15"/>
    <w:rsid w:val="00F35351"/>
    <w:rsid w:val="00F912EC"/>
    <w:rsid w:val="00F966D5"/>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2</cp:revision>
  <dcterms:created xsi:type="dcterms:W3CDTF">2017-03-21T19:06:00Z</dcterms:created>
  <dcterms:modified xsi:type="dcterms:W3CDTF">2017-03-21T19:06:00Z</dcterms:modified>
</cp:coreProperties>
</file>