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7316"/>
      </w:tblGrid>
      <w:tr w:rsidR="00416C6F" w:rsidRPr="0053196F" w:rsidTr="00C145FC">
        <w:trPr>
          <w:trHeight w:val="244"/>
        </w:trPr>
        <w:tc>
          <w:tcPr>
            <w:tcW w:w="1003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C145FC">
        <w:trPr>
          <w:trHeight w:val="194"/>
        </w:trPr>
        <w:tc>
          <w:tcPr>
            <w:tcW w:w="2720" w:type="dxa"/>
            <w:shd w:val="clear" w:color="auto" w:fill="56008C"/>
          </w:tcPr>
          <w:p w:rsidR="00416C6F" w:rsidRPr="0053196F" w:rsidRDefault="00112187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Site Address</w:t>
            </w:r>
          </w:p>
        </w:tc>
        <w:tc>
          <w:tcPr>
            <w:tcW w:w="7315" w:type="dxa"/>
            <w:shd w:val="clear" w:color="auto" w:fill="auto"/>
          </w:tcPr>
          <w:p w:rsidR="00416C6F" w:rsidRPr="0053196F" w:rsidRDefault="00733F4B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Site</w:t>
            </w:r>
            <w:r w:rsidR="00E0613E">
              <w:rPr>
                <w:sz w:val="24"/>
                <w:szCs w:val="24"/>
              </w:rPr>
              <w:t xml:space="preserve">.1 </w:t>
            </w:r>
            <w:r w:rsidR="00D95782">
              <w:rPr>
                <w:sz w:val="24"/>
                <w:szCs w:val="24"/>
              </w:rPr>
              <w:t>Land e</w:t>
            </w:r>
            <w:r w:rsidR="001C03BC">
              <w:rPr>
                <w:sz w:val="24"/>
                <w:szCs w:val="24"/>
              </w:rPr>
              <w:t xml:space="preserve">ast side of </w:t>
            </w:r>
            <w:r w:rsidR="001B013A">
              <w:rPr>
                <w:sz w:val="24"/>
                <w:szCs w:val="24"/>
              </w:rPr>
              <w:t>Station Road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C145FC">
        <w:trPr>
          <w:trHeight w:val="503"/>
        </w:trPr>
        <w:tc>
          <w:tcPr>
            <w:tcW w:w="2720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shd w:val="clear" w:color="auto" w:fill="auto"/>
          </w:tcPr>
          <w:p w:rsidR="00416C6F" w:rsidRPr="0053196F" w:rsidRDefault="001C03B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acres ( as per submission)</w:t>
            </w:r>
          </w:p>
        </w:tc>
      </w:tr>
      <w:tr w:rsidR="00416C6F" w:rsidRPr="0053196F" w:rsidTr="00C145FC">
        <w:trPr>
          <w:trHeight w:val="461"/>
        </w:trPr>
        <w:tc>
          <w:tcPr>
            <w:tcW w:w="2720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shd w:val="clear" w:color="auto" w:fill="auto"/>
          </w:tcPr>
          <w:p w:rsidR="00416C6F" w:rsidRPr="0053196F" w:rsidRDefault="001C03B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Agricultural 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C145FC">
        <w:trPr>
          <w:trHeight w:val="503"/>
        </w:trPr>
        <w:tc>
          <w:tcPr>
            <w:tcW w:w="2720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shd w:val="clear" w:color="auto" w:fill="auto"/>
          </w:tcPr>
          <w:p w:rsidR="00416C6F" w:rsidRPr="0053196F" w:rsidRDefault="001C03B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Housing/Open Space</w:t>
            </w:r>
          </w:p>
        </w:tc>
      </w:tr>
      <w:tr w:rsidR="00416C6F" w:rsidRPr="0053196F" w:rsidTr="00C145FC">
        <w:trPr>
          <w:trHeight w:val="795"/>
        </w:trPr>
        <w:tc>
          <w:tcPr>
            <w:tcW w:w="2720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7315" w:type="dxa"/>
            <w:shd w:val="clear" w:color="auto" w:fill="auto"/>
          </w:tcPr>
          <w:p w:rsidR="00416C6F" w:rsidRPr="0053196F" w:rsidRDefault="001C03B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Owner promoter</w:t>
            </w:r>
          </w:p>
        </w:tc>
      </w:tr>
      <w:tr w:rsidR="00416C6F" w:rsidRPr="0053196F" w:rsidTr="00C145FC">
        <w:trPr>
          <w:trHeight w:val="884"/>
        </w:trPr>
        <w:tc>
          <w:tcPr>
            <w:tcW w:w="2720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7315" w:type="dxa"/>
            <w:shd w:val="clear" w:color="auto" w:fill="auto"/>
          </w:tcPr>
          <w:p w:rsidR="00D963ED" w:rsidRPr="0053196F" w:rsidRDefault="001B67D4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Weald AONB</w:t>
            </w:r>
          </w:p>
        </w:tc>
      </w:tr>
      <w:tr w:rsidR="00416C6F" w:rsidRPr="0053196F" w:rsidTr="00C145FC">
        <w:trPr>
          <w:trHeight w:val="489"/>
        </w:trPr>
        <w:tc>
          <w:tcPr>
            <w:tcW w:w="2720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shd w:val="clear" w:color="auto" w:fill="auto"/>
          </w:tcPr>
          <w:p w:rsidR="001B67D4" w:rsidRPr="00112187" w:rsidRDefault="001B67D4" w:rsidP="0011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Assessed as part of a larger site in the SHLAA </w:t>
            </w:r>
            <w:r w:rsidR="00112187">
              <w:rPr>
                <w:sz w:val="24"/>
                <w:szCs w:val="24"/>
              </w:rPr>
              <w:t>which</w:t>
            </w:r>
            <w:r>
              <w:rPr>
                <w:sz w:val="24"/>
                <w:szCs w:val="24"/>
              </w:rPr>
              <w:t xml:space="preserve"> rejected on a number of grounds</w:t>
            </w:r>
            <w:r w:rsidR="00112187">
              <w:rPr>
                <w:sz w:val="24"/>
                <w:szCs w:val="24"/>
              </w:rPr>
              <w:t>.</w:t>
            </w:r>
          </w:p>
        </w:tc>
      </w:tr>
      <w:tr w:rsidR="00416C6F" w:rsidRPr="0053196F" w:rsidTr="00C145FC">
        <w:trPr>
          <w:trHeight w:val="244"/>
        </w:trPr>
        <w:tc>
          <w:tcPr>
            <w:tcW w:w="1003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C145FC">
        <w:trPr>
          <w:trHeight w:val="651"/>
        </w:trPr>
        <w:tc>
          <w:tcPr>
            <w:tcW w:w="2720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7315" w:type="dxa"/>
            <w:shd w:val="clear" w:color="auto" w:fill="auto"/>
          </w:tcPr>
          <w:p w:rsidR="00416C6F" w:rsidRPr="0053196F" w:rsidRDefault="00F26ADF" w:rsidP="0011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High Weald AONB. </w:t>
            </w:r>
            <w:r w:rsidR="00112187">
              <w:rPr>
                <w:sz w:val="24"/>
                <w:szCs w:val="24"/>
              </w:rPr>
              <w:t xml:space="preserve">North-western </w:t>
            </w:r>
            <w:r w:rsidR="001B67D4">
              <w:rPr>
                <w:sz w:val="24"/>
                <w:szCs w:val="24"/>
              </w:rPr>
              <w:t>part of l</w:t>
            </w:r>
            <w:r w:rsidR="005019A8">
              <w:rPr>
                <w:sz w:val="24"/>
                <w:szCs w:val="24"/>
              </w:rPr>
              <w:t>and relatively well contained from wider landscape</w:t>
            </w:r>
            <w:r w:rsidR="00112187">
              <w:rPr>
                <w:sz w:val="24"/>
                <w:szCs w:val="24"/>
              </w:rPr>
              <w:t xml:space="preserve"> with the northern part seen within context of existing properties to the north which are seen in a ribbon development pattern along Station Road. Western boundary located is </w:t>
            </w:r>
            <w:r w:rsidR="005019A8">
              <w:rPr>
                <w:sz w:val="24"/>
                <w:szCs w:val="24"/>
              </w:rPr>
              <w:t>a mature tree/hedgerow</w:t>
            </w:r>
            <w:r w:rsidR="00112187">
              <w:rPr>
                <w:sz w:val="24"/>
                <w:szCs w:val="24"/>
              </w:rPr>
              <w:t xml:space="preserve"> and levels fall towards lane. Footpaths to the south</w:t>
            </w:r>
            <w:r w:rsidR="00A57A73">
              <w:rPr>
                <w:sz w:val="24"/>
                <w:szCs w:val="24"/>
              </w:rPr>
              <w:t xml:space="preserve"> east</w:t>
            </w:r>
            <w:r w:rsidR="00112187">
              <w:rPr>
                <w:sz w:val="24"/>
                <w:szCs w:val="24"/>
              </w:rPr>
              <w:t xml:space="preserve"> of site which presents some visibility of site although existing properties are seen within such context. If access is to be taken to the south west, need </w:t>
            </w:r>
            <w:r w:rsidR="001B67D4">
              <w:rPr>
                <w:sz w:val="24"/>
                <w:szCs w:val="24"/>
              </w:rPr>
              <w:t xml:space="preserve">to consider </w:t>
            </w:r>
            <w:r w:rsidR="005019A8">
              <w:rPr>
                <w:sz w:val="24"/>
                <w:szCs w:val="24"/>
              </w:rPr>
              <w:t>impact of access on landscape due to topography</w:t>
            </w:r>
            <w:r w:rsidR="00112187">
              <w:rPr>
                <w:sz w:val="24"/>
                <w:szCs w:val="24"/>
              </w:rPr>
              <w:t xml:space="preserve"> but a more appropriate access would be further north</w:t>
            </w:r>
            <w:r w:rsidR="001B67D4">
              <w:rPr>
                <w:sz w:val="24"/>
                <w:szCs w:val="24"/>
              </w:rPr>
              <w:t>.</w:t>
            </w:r>
            <w:r w:rsidR="00112187">
              <w:rPr>
                <w:sz w:val="24"/>
                <w:szCs w:val="24"/>
              </w:rPr>
              <w:t xml:space="preserve"> If considered in relation to adjoining sites, e</w:t>
            </w:r>
            <w:r w:rsidR="001B67D4">
              <w:rPr>
                <w:sz w:val="24"/>
                <w:szCs w:val="24"/>
              </w:rPr>
              <w:t>xisting building</w:t>
            </w:r>
            <w:r w:rsidR="00112187">
              <w:rPr>
                <w:sz w:val="24"/>
                <w:szCs w:val="24"/>
              </w:rPr>
              <w:t>s</w:t>
            </w:r>
            <w:r w:rsidR="001B67D4">
              <w:rPr>
                <w:sz w:val="24"/>
                <w:szCs w:val="24"/>
              </w:rPr>
              <w:t>, particularly the steel frame, is a detractor in landscape</w:t>
            </w:r>
            <w:r w:rsidR="00651654">
              <w:rPr>
                <w:sz w:val="24"/>
                <w:szCs w:val="24"/>
              </w:rPr>
              <w:t>. Within the landscape sector where ESCC considered there to be low potential for new housing.</w:t>
            </w:r>
          </w:p>
        </w:tc>
      </w:tr>
      <w:tr w:rsidR="00D963ED" w:rsidRPr="0053196F" w:rsidTr="00C145FC">
        <w:trPr>
          <w:trHeight w:val="463"/>
        </w:trPr>
        <w:tc>
          <w:tcPr>
            <w:tcW w:w="2720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7315" w:type="dxa"/>
            <w:shd w:val="clear" w:color="auto" w:fill="auto"/>
          </w:tcPr>
          <w:p w:rsidR="00D963ED" w:rsidRPr="0053196F" w:rsidRDefault="001C03B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Housing to the north and west </w:t>
            </w:r>
          </w:p>
        </w:tc>
      </w:tr>
      <w:tr w:rsidR="00C76945" w:rsidRPr="0053196F" w:rsidTr="00C145FC">
        <w:trPr>
          <w:trHeight w:val="495"/>
        </w:trPr>
        <w:tc>
          <w:tcPr>
            <w:tcW w:w="2720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7315" w:type="dxa"/>
            <w:shd w:val="clear" w:color="auto" w:fill="auto"/>
          </w:tcPr>
          <w:p w:rsidR="00C76945" w:rsidRPr="0053196F" w:rsidRDefault="001C03B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boundaries/mature hedgerow and trees</w:t>
            </w:r>
            <w:r w:rsidR="00112187">
              <w:rPr>
                <w:sz w:val="24"/>
                <w:szCs w:val="24"/>
              </w:rPr>
              <w:t xml:space="preserve"> and grassland</w:t>
            </w:r>
          </w:p>
        </w:tc>
      </w:tr>
      <w:tr w:rsidR="00416C6F" w:rsidRPr="0053196F" w:rsidTr="00C145FC">
        <w:trPr>
          <w:trHeight w:val="633"/>
        </w:trPr>
        <w:tc>
          <w:tcPr>
            <w:tcW w:w="2720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7315" w:type="dxa"/>
            <w:shd w:val="clear" w:color="auto" w:fill="auto"/>
          </w:tcPr>
          <w:p w:rsidR="00416C6F" w:rsidRPr="0053196F" w:rsidRDefault="001C03B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Existing access to south west boundary where gradient of land needs to be addressed. Opening within hedge further north but need to check ownership of Station Road</w:t>
            </w:r>
            <w:r w:rsidR="00112187">
              <w:rPr>
                <w:sz w:val="24"/>
                <w:szCs w:val="24"/>
              </w:rPr>
              <w:t xml:space="preserve">. Has access to local footpath network </w:t>
            </w:r>
          </w:p>
        </w:tc>
      </w:tr>
      <w:tr w:rsidR="00416C6F" w:rsidRPr="0053196F" w:rsidTr="00C145FC">
        <w:trPr>
          <w:trHeight w:val="1006"/>
        </w:trPr>
        <w:tc>
          <w:tcPr>
            <w:tcW w:w="2720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shd w:val="clear" w:color="auto" w:fill="auto"/>
          </w:tcPr>
          <w:p w:rsidR="00416C6F" w:rsidRDefault="00112187" w:rsidP="0011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</w:p>
          <w:p w:rsidR="00C84F28" w:rsidRPr="0053196F" w:rsidRDefault="00C84F28" w:rsidP="001121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Provision of SUDS due to prevent surface water flooding </w:t>
            </w:r>
          </w:p>
        </w:tc>
      </w:tr>
      <w:tr w:rsidR="00416C6F" w:rsidRPr="0053196F" w:rsidTr="00C145FC">
        <w:trPr>
          <w:trHeight w:val="633"/>
        </w:trPr>
        <w:tc>
          <w:tcPr>
            <w:tcW w:w="2720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  <w:r w:rsidR="001C03BC">
              <w:rPr>
                <w:color w:val="FFFFFF"/>
                <w:sz w:val="24"/>
                <w:szCs w:val="24"/>
              </w:rPr>
              <w:t xml:space="preserve"> (school, church)</w:t>
            </w:r>
            <w:r w:rsidR="00112187">
              <w:rPr>
                <w:color w:val="FFFFFF"/>
                <w:sz w:val="24"/>
                <w:szCs w:val="24"/>
              </w:rPr>
              <w:t xml:space="preserve"> and railway station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shd w:val="clear" w:color="auto" w:fill="auto"/>
          </w:tcPr>
          <w:p w:rsidR="00416C6F" w:rsidRDefault="001B67D4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90m</w:t>
            </w:r>
            <w:r w:rsidR="00112187">
              <w:rPr>
                <w:sz w:val="24"/>
                <w:szCs w:val="24"/>
              </w:rPr>
              <w:t xml:space="preserve"> from core</w:t>
            </w:r>
          </w:p>
          <w:p w:rsidR="00112187" w:rsidRDefault="00112187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650m from existing entrance but much closer if additional access points could be achieved</w:t>
            </w:r>
          </w:p>
          <w:p w:rsidR="00112187" w:rsidRPr="0053196F" w:rsidRDefault="00112187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965m to pub/recreation ground</w:t>
            </w:r>
          </w:p>
        </w:tc>
      </w:tr>
      <w:tr w:rsidR="00416C6F" w:rsidRPr="0053196F" w:rsidTr="00C145FC">
        <w:trPr>
          <w:trHeight w:val="394"/>
        </w:trPr>
        <w:tc>
          <w:tcPr>
            <w:tcW w:w="2720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tcBorders>
              <w:bottom w:val="single" w:sz="4" w:space="0" w:color="auto"/>
            </w:tcBorders>
            <w:shd w:val="clear" w:color="auto" w:fill="auto"/>
          </w:tcPr>
          <w:p w:rsidR="00416C6F" w:rsidRDefault="005019A8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Proximity of access and impact on setting of Church </w:t>
            </w:r>
            <w:r w:rsidR="00A57A73">
              <w:rPr>
                <w:sz w:val="24"/>
                <w:szCs w:val="24"/>
              </w:rPr>
              <w:t>which is limited if development was restricted to the north</w:t>
            </w:r>
          </w:p>
          <w:p w:rsidR="00C145FC" w:rsidRPr="0053196F" w:rsidRDefault="00C145F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Provision of SUDS</w:t>
            </w:r>
            <w:r w:rsidR="00A57A73">
              <w:rPr>
                <w:sz w:val="24"/>
                <w:szCs w:val="24"/>
              </w:rPr>
              <w:t>, Footpaths</w:t>
            </w:r>
          </w:p>
        </w:tc>
      </w:tr>
      <w:tr w:rsidR="00416C6F" w:rsidRPr="0053196F" w:rsidTr="00C145FC">
        <w:trPr>
          <w:trHeight w:val="661"/>
        </w:trPr>
        <w:tc>
          <w:tcPr>
            <w:tcW w:w="2720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7315" w:type="dxa"/>
            <w:tcBorders>
              <w:bottom w:val="single" w:sz="4" w:space="0" w:color="auto"/>
            </w:tcBorders>
            <w:shd w:val="clear" w:color="auto" w:fill="auto"/>
          </w:tcPr>
          <w:p w:rsidR="00112187" w:rsidRDefault="00112187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a landscape visual impact assessment and landscape strategy to overcome landscape impact.</w:t>
            </w:r>
          </w:p>
          <w:p w:rsidR="00416C6F" w:rsidRPr="0053196F" w:rsidRDefault="00112187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 ownership of lane for alternative access and</w:t>
            </w:r>
            <w:r w:rsidR="005019A8">
              <w:rPr>
                <w:sz w:val="24"/>
                <w:szCs w:val="24"/>
              </w:rPr>
              <w:t xml:space="preserve"> </w:t>
            </w:r>
            <w:proofErr w:type="spellStart"/>
            <w:r w:rsidR="005019A8">
              <w:rPr>
                <w:sz w:val="24"/>
                <w:szCs w:val="24"/>
              </w:rPr>
              <w:t>and</w:t>
            </w:r>
            <w:proofErr w:type="spellEnd"/>
            <w:r w:rsidR="005019A8">
              <w:rPr>
                <w:sz w:val="24"/>
                <w:szCs w:val="24"/>
              </w:rPr>
              <w:t xml:space="preserve"> it is likely suitable design can be achieved for the access</w:t>
            </w:r>
          </w:p>
        </w:tc>
      </w:tr>
      <w:tr w:rsidR="00651654" w:rsidRPr="0053196F" w:rsidTr="00C145FC">
        <w:trPr>
          <w:trHeight w:val="244"/>
        </w:trPr>
        <w:tc>
          <w:tcPr>
            <w:tcW w:w="2720" w:type="dxa"/>
            <w:tcBorders>
              <w:bottom w:val="single" w:sz="4" w:space="0" w:color="auto"/>
            </w:tcBorders>
            <w:shd w:val="clear" w:color="auto" w:fill="56008C"/>
          </w:tcPr>
          <w:p w:rsidR="00651654" w:rsidRDefault="00A57A73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Availability </w:t>
            </w:r>
          </w:p>
        </w:tc>
        <w:tc>
          <w:tcPr>
            <w:tcW w:w="7315" w:type="dxa"/>
            <w:tcBorders>
              <w:bottom w:val="single" w:sz="4" w:space="0" w:color="auto"/>
            </w:tcBorders>
            <w:shd w:val="clear" w:color="auto" w:fill="auto"/>
          </w:tcPr>
          <w:p w:rsidR="00651654" w:rsidRDefault="00651654" w:rsidP="00C14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Owner promoted so available </w:t>
            </w:r>
          </w:p>
        </w:tc>
      </w:tr>
      <w:tr w:rsidR="00C76945" w:rsidRPr="00C76945" w:rsidTr="00C145FC">
        <w:trPr>
          <w:trHeight w:val="3763"/>
        </w:trPr>
        <w:tc>
          <w:tcPr>
            <w:tcW w:w="2720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7315" w:type="dxa"/>
            <w:shd w:val="clear" w:color="auto" w:fill="FFFFFF" w:themeFill="background1"/>
          </w:tcPr>
          <w:p w:rsidR="00C76945" w:rsidRPr="005019A8" w:rsidRDefault="001B67D4" w:rsidP="00C14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Relatively well located for village amenities and public transport</w:t>
            </w:r>
            <w:r w:rsidR="00C145FC">
              <w:rPr>
                <w:sz w:val="24"/>
                <w:szCs w:val="24"/>
              </w:rPr>
              <w:t>, all facilities within 1km</w:t>
            </w:r>
            <w:r>
              <w:rPr>
                <w:sz w:val="24"/>
                <w:szCs w:val="24"/>
              </w:rPr>
              <w:t xml:space="preserve">. Potential for development that could </w:t>
            </w:r>
            <w:r w:rsidR="005019A8">
              <w:rPr>
                <w:sz w:val="24"/>
                <w:szCs w:val="24"/>
              </w:rPr>
              <w:t>replicate the existing development pattern and subject to a comprehensive landscape strategy there is potential for a development to assimilate into the landscape</w:t>
            </w:r>
            <w:r>
              <w:rPr>
                <w:sz w:val="24"/>
                <w:szCs w:val="24"/>
              </w:rPr>
              <w:t xml:space="preserve"> along the frontage with Station Road</w:t>
            </w:r>
            <w:r w:rsidR="005019A8">
              <w:rPr>
                <w:sz w:val="24"/>
                <w:szCs w:val="24"/>
              </w:rPr>
              <w:t xml:space="preserve">. </w:t>
            </w:r>
            <w:r w:rsidR="00C145FC">
              <w:rPr>
                <w:sz w:val="24"/>
                <w:szCs w:val="24"/>
              </w:rPr>
              <w:t xml:space="preserve">Its suitability would be subject to further assessment of its landscape impact and access. </w:t>
            </w:r>
            <w:r w:rsidR="005019A8">
              <w:rPr>
                <w:sz w:val="24"/>
                <w:szCs w:val="24"/>
              </w:rPr>
              <w:t xml:space="preserve">Could also be considered with adjacent land to the south west (land outside the Flood Zone) </w:t>
            </w:r>
            <w:r w:rsidR="00C145FC">
              <w:rPr>
                <w:sz w:val="24"/>
                <w:szCs w:val="24"/>
              </w:rPr>
              <w:t>previously considered suitable</w:t>
            </w:r>
            <w:r w:rsidR="00651654">
              <w:rPr>
                <w:sz w:val="24"/>
                <w:szCs w:val="24"/>
              </w:rPr>
              <w:t xml:space="preserve"> by the Rother SHLAA </w:t>
            </w:r>
            <w:r w:rsidR="005019A8">
              <w:rPr>
                <w:sz w:val="24"/>
                <w:szCs w:val="24"/>
              </w:rPr>
              <w:t>and opportunity could be taken to remove unsightly farm buildings and enhance this prominent location</w:t>
            </w:r>
            <w:r w:rsidR="00C145FC">
              <w:rPr>
                <w:sz w:val="24"/>
                <w:szCs w:val="24"/>
              </w:rPr>
              <w:t xml:space="preserve"> and could be considered as part of a mixed use scheme including community hall and parking provision.</w:t>
            </w:r>
            <w:r w:rsidR="00A57A73">
              <w:rPr>
                <w:sz w:val="24"/>
                <w:szCs w:val="24"/>
              </w:rPr>
              <w:t xml:space="preserve"> This is subject to a heritage impact assessment in respect of the Manor Ruins and the Church.</w:t>
            </w:r>
          </w:p>
        </w:tc>
      </w:tr>
      <w:tr w:rsidR="00C145FC" w:rsidRPr="00C76945" w:rsidTr="00C145FC">
        <w:trPr>
          <w:trHeight w:val="796"/>
        </w:trPr>
        <w:tc>
          <w:tcPr>
            <w:tcW w:w="2720" w:type="dxa"/>
            <w:shd w:val="clear" w:color="auto" w:fill="7030A0"/>
          </w:tcPr>
          <w:p w:rsidR="00C145FC" w:rsidRDefault="00C145FC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7315" w:type="dxa"/>
            <w:shd w:val="clear" w:color="auto" w:fill="FFFFFF" w:themeFill="background1"/>
          </w:tcPr>
          <w:p w:rsidR="00C145FC" w:rsidRDefault="00C145FC" w:rsidP="00C14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 to further investigation</w:t>
            </w:r>
            <w:r w:rsidR="00D95782">
              <w:rPr>
                <w:sz w:val="24"/>
                <w:szCs w:val="24"/>
              </w:rPr>
              <w:t xml:space="preserve"> in respect of landscape, surface water and access and</w:t>
            </w:r>
            <w:r w:rsidR="001D001C">
              <w:rPr>
                <w:sz w:val="24"/>
                <w:szCs w:val="24"/>
              </w:rPr>
              <w:t xml:space="preserve"> consideration of adjoining land to the south, the </w:t>
            </w:r>
            <w:r>
              <w:rPr>
                <w:sz w:val="24"/>
                <w:szCs w:val="24"/>
              </w:rPr>
              <w:t>site is considered potential s</w:t>
            </w:r>
            <w:bookmarkStart w:id="0" w:name="_GoBack"/>
            <w:bookmarkEnd w:id="0"/>
            <w:r>
              <w:rPr>
                <w:sz w:val="24"/>
                <w:szCs w:val="24"/>
              </w:rPr>
              <w:t>uitable for housing development.</w:t>
            </w:r>
          </w:p>
        </w:tc>
      </w:tr>
    </w:tbl>
    <w:p w:rsidR="009475ED" w:rsidRDefault="00D95782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112187"/>
    <w:rsid w:val="001B013A"/>
    <w:rsid w:val="001B67D4"/>
    <w:rsid w:val="001C03BC"/>
    <w:rsid w:val="001D001C"/>
    <w:rsid w:val="00416C6F"/>
    <w:rsid w:val="004D4A33"/>
    <w:rsid w:val="005019A8"/>
    <w:rsid w:val="00534032"/>
    <w:rsid w:val="00651654"/>
    <w:rsid w:val="006C6D9D"/>
    <w:rsid w:val="00733F4B"/>
    <w:rsid w:val="007A613D"/>
    <w:rsid w:val="008E3A10"/>
    <w:rsid w:val="00A57A73"/>
    <w:rsid w:val="00C145FC"/>
    <w:rsid w:val="00C76945"/>
    <w:rsid w:val="00C84F28"/>
    <w:rsid w:val="00D95782"/>
    <w:rsid w:val="00D963ED"/>
    <w:rsid w:val="00E0613E"/>
    <w:rsid w:val="00F2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3F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3F4B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11</cp:revision>
  <cp:lastPrinted>2017-03-21T19:09:00Z</cp:lastPrinted>
  <dcterms:created xsi:type="dcterms:W3CDTF">2017-03-15T14:51:00Z</dcterms:created>
  <dcterms:modified xsi:type="dcterms:W3CDTF">2017-03-21T21:05:00Z</dcterms:modified>
</cp:coreProperties>
</file>