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6907"/>
      </w:tblGrid>
      <w:tr w:rsidR="00416C6F" w:rsidRPr="0053196F" w:rsidTr="00F33A88">
        <w:tc>
          <w:tcPr>
            <w:tcW w:w="9351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 w:rsidRPr="0053196F">
              <w:rPr>
                <w:b/>
                <w:color w:val="FFFFFF"/>
                <w:sz w:val="24"/>
                <w:szCs w:val="24"/>
              </w:rPr>
              <w:t>Site Details</w:t>
            </w:r>
          </w:p>
        </w:tc>
      </w:tr>
      <w:tr w:rsidR="00416C6F" w:rsidRPr="0053196F" w:rsidTr="00F33A88"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Site Address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shd w:val="clear" w:color="auto" w:fill="auto"/>
          </w:tcPr>
          <w:p w:rsidR="003819D3" w:rsidRPr="0053196F" w:rsidRDefault="00F33A88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Site. 35 </w:t>
            </w:r>
            <w:r w:rsidR="00E816BF">
              <w:rPr>
                <w:sz w:val="24"/>
                <w:szCs w:val="24"/>
              </w:rPr>
              <w:t>Storage Building Landscape Studios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F33A88"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shd w:val="clear" w:color="auto" w:fill="auto"/>
          </w:tcPr>
          <w:p w:rsidR="00416C6F" w:rsidRPr="0053196F" w:rsidRDefault="00F33A88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0.03ha</w:t>
            </w:r>
          </w:p>
        </w:tc>
      </w:tr>
      <w:tr w:rsidR="00416C6F" w:rsidRPr="0053196F" w:rsidTr="00F33A88">
        <w:trPr>
          <w:trHeight w:val="367"/>
        </w:trPr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shd w:val="clear" w:color="auto" w:fill="auto"/>
          </w:tcPr>
          <w:p w:rsidR="00416C6F" w:rsidRPr="0053196F" w:rsidRDefault="004552A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Landscape Studio Barn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F33A88"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shd w:val="clear" w:color="auto" w:fill="auto"/>
          </w:tcPr>
          <w:p w:rsidR="00416C6F" w:rsidRPr="0053196F" w:rsidRDefault="003819D3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</w:p>
        </w:tc>
      </w:tr>
      <w:tr w:rsidR="00416C6F" w:rsidRPr="0053196F" w:rsidTr="00F33A88">
        <w:trPr>
          <w:trHeight w:val="878"/>
        </w:trPr>
        <w:tc>
          <w:tcPr>
            <w:tcW w:w="2444" w:type="dxa"/>
            <w:shd w:val="clear" w:color="auto" w:fill="56008C"/>
          </w:tcPr>
          <w:p w:rsidR="00416C6F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D963ED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6907" w:type="dxa"/>
            <w:shd w:val="clear" w:color="auto" w:fill="auto"/>
          </w:tcPr>
          <w:p w:rsidR="00416C6F" w:rsidRPr="0053196F" w:rsidRDefault="003819D3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 promotion</w:t>
            </w:r>
          </w:p>
        </w:tc>
      </w:tr>
      <w:tr w:rsidR="00416C6F" w:rsidRPr="0053196F" w:rsidTr="00F33A88">
        <w:trPr>
          <w:trHeight w:val="976"/>
        </w:trPr>
        <w:tc>
          <w:tcPr>
            <w:tcW w:w="2444" w:type="dxa"/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6907" w:type="dxa"/>
            <w:shd w:val="clear" w:color="auto" w:fill="auto"/>
          </w:tcPr>
          <w:p w:rsidR="00D963ED" w:rsidRDefault="004552AA" w:rsidP="003819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None </w:t>
            </w:r>
          </w:p>
          <w:p w:rsidR="003819D3" w:rsidRPr="003819D3" w:rsidRDefault="003819D3" w:rsidP="004552AA">
            <w:pPr>
              <w:rPr>
                <w:sz w:val="24"/>
                <w:szCs w:val="24"/>
              </w:rPr>
            </w:pPr>
          </w:p>
        </w:tc>
      </w:tr>
      <w:tr w:rsidR="00416C6F" w:rsidRPr="0053196F" w:rsidTr="00F33A88">
        <w:tc>
          <w:tcPr>
            <w:tcW w:w="2444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shd w:val="clear" w:color="auto" w:fill="auto"/>
          </w:tcPr>
          <w:p w:rsidR="00416C6F" w:rsidRPr="0053196F" w:rsidRDefault="00A82F2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None </w:t>
            </w:r>
          </w:p>
        </w:tc>
      </w:tr>
      <w:tr w:rsidR="00416C6F" w:rsidRPr="0053196F" w:rsidTr="00F33A88">
        <w:tc>
          <w:tcPr>
            <w:tcW w:w="9351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F33A88">
        <w:trPr>
          <w:trHeight w:val="719"/>
        </w:trPr>
        <w:tc>
          <w:tcPr>
            <w:tcW w:w="2444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6907" w:type="dxa"/>
            <w:shd w:val="clear" w:color="auto" w:fill="auto"/>
          </w:tcPr>
          <w:p w:rsidR="00416C6F" w:rsidRPr="0053196F" w:rsidRDefault="00F33A88" w:rsidP="00FB32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 within the</w:t>
            </w:r>
            <w:r w:rsidR="009706DE">
              <w:rPr>
                <w:sz w:val="24"/>
                <w:szCs w:val="24"/>
              </w:rPr>
              <w:t xml:space="preserve"> AONB. </w:t>
            </w:r>
            <w:r w:rsidR="00FB3261">
              <w:rPr>
                <w:sz w:val="24"/>
                <w:szCs w:val="24"/>
              </w:rPr>
              <w:t>Building represents a former agricultural building which presents historic character</w:t>
            </w:r>
            <w:r w:rsidR="00A82F2A">
              <w:rPr>
                <w:sz w:val="24"/>
                <w:szCs w:val="24"/>
              </w:rPr>
              <w:t>.</w:t>
            </w:r>
            <w:r w:rsidR="004552AA">
              <w:rPr>
                <w:sz w:val="24"/>
                <w:szCs w:val="24"/>
              </w:rPr>
              <w:t xml:space="preserve"> Located in the landscape assessment CR1 which considered the land to have moderate potential </w:t>
            </w:r>
          </w:p>
        </w:tc>
      </w:tr>
      <w:tr w:rsidR="00D963ED" w:rsidRPr="0053196F" w:rsidTr="00F33A88">
        <w:trPr>
          <w:trHeight w:val="719"/>
        </w:trPr>
        <w:tc>
          <w:tcPr>
            <w:tcW w:w="2444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6907" w:type="dxa"/>
            <w:shd w:val="clear" w:color="auto" w:fill="auto"/>
          </w:tcPr>
          <w:p w:rsidR="00D963ED" w:rsidRPr="0053196F" w:rsidRDefault="00FB3261" w:rsidP="00455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Housing to the </w:t>
            </w:r>
            <w:r w:rsidR="004552AA">
              <w:rPr>
                <w:sz w:val="24"/>
                <w:szCs w:val="24"/>
              </w:rPr>
              <w:t>N</w:t>
            </w:r>
            <w:r w:rsidR="00F33A88">
              <w:rPr>
                <w:sz w:val="24"/>
                <w:szCs w:val="24"/>
              </w:rPr>
              <w:t>W</w:t>
            </w:r>
            <w:r w:rsidR="004552AA">
              <w:rPr>
                <w:sz w:val="24"/>
                <w:szCs w:val="24"/>
              </w:rPr>
              <w:t xml:space="preserve"> and agricultural land to the E and S. Garden to the N</w:t>
            </w:r>
          </w:p>
        </w:tc>
      </w:tr>
      <w:tr w:rsidR="00C76945" w:rsidRPr="0053196F" w:rsidTr="00F33A88">
        <w:trPr>
          <w:trHeight w:val="710"/>
        </w:trPr>
        <w:tc>
          <w:tcPr>
            <w:tcW w:w="2444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6907" w:type="dxa"/>
            <w:shd w:val="clear" w:color="auto" w:fill="auto"/>
          </w:tcPr>
          <w:p w:rsidR="00C76945" w:rsidRPr="0053196F" w:rsidRDefault="00FB3261" w:rsidP="00A82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Potentially bat habitat but otherwise limited</w:t>
            </w:r>
          </w:p>
        </w:tc>
      </w:tr>
      <w:tr w:rsidR="00416C6F" w:rsidRPr="0053196F" w:rsidTr="00F33A88">
        <w:trPr>
          <w:trHeight w:val="699"/>
        </w:trPr>
        <w:tc>
          <w:tcPr>
            <w:tcW w:w="2444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6907" w:type="dxa"/>
            <w:shd w:val="clear" w:color="auto" w:fill="auto"/>
          </w:tcPr>
          <w:p w:rsidR="00925C09" w:rsidRPr="0053196F" w:rsidRDefault="004552AA" w:rsidP="00455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is located where pedestrian access can be made to village amenities although vehicular access has not been demonstrated as being achievable either as a result of land ownership or that if land was available that access could be created to the appropriate standards. </w:t>
            </w:r>
          </w:p>
        </w:tc>
      </w:tr>
      <w:tr w:rsidR="00416C6F" w:rsidRPr="0053196F" w:rsidTr="00F33A88">
        <w:tc>
          <w:tcPr>
            <w:tcW w:w="2444" w:type="dxa"/>
            <w:tcBorders>
              <w:bottom w:val="single" w:sz="4" w:space="0" w:color="auto"/>
            </w:tcBorders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Other environmental, </w:t>
            </w:r>
            <w:proofErr w:type="spellStart"/>
            <w:r>
              <w:rPr>
                <w:color w:val="FFFFFF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color w:val="FFFFFF"/>
                <w:sz w:val="24"/>
                <w:szCs w:val="24"/>
              </w:rPr>
              <w:t>..</w:t>
            </w:r>
            <w:proofErr w:type="gramEnd"/>
            <w:r>
              <w:rPr>
                <w:color w:val="FFFFFF"/>
                <w:sz w:val="24"/>
                <w:szCs w:val="24"/>
              </w:rPr>
              <w:t>e Flood Risk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shd w:val="clear" w:color="auto" w:fill="auto"/>
          </w:tcPr>
          <w:p w:rsidR="00416C6F" w:rsidRPr="0053196F" w:rsidRDefault="00925C09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1- low risk of flooding</w:t>
            </w:r>
          </w:p>
        </w:tc>
      </w:tr>
      <w:tr w:rsidR="00416C6F" w:rsidRPr="0053196F" w:rsidTr="00F33A88">
        <w:tc>
          <w:tcPr>
            <w:tcW w:w="2444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shd w:val="clear" w:color="auto" w:fill="auto"/>
          </w:tcPr>
          <w:p w:rsidR="004552AA" w:rsidRDefault="004552AA" w:rsidP="00455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 from school/church 650m no footpaths, 800m via the 1066 route</w:t>
            </w:r>
          </w:p>
          <w:p w:rsidR="00925C09" w:rsidRPr="0053196F" w:rsidRDefault="004552AA" w:rsidP="00455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Pub-Recreation ground 500m–via the footpath and Plough Lane</w:t>
            </w:r>
          </w:p>
        </w:tc>
      </w:tr>
      <w:tr w:rsidR="00416C6F" w:rsidRPr="0053196F" w:rsidTr="00F33A88">
        <w:tc>
          <w:tcPr>
            <w:tcW w:w="2444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lastRenderedPageBreak/>
              <w:t>Distance to the railway station</w:t>
            </w:r>
          </w:p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shd w:val="clear" w:color="auto" w:fill="auto"/>
          </w:tcPr>
          <w:p w:rsidR="00416C6F" w:rsidRPr="0053196F" w:rsidRDefault="004552A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1300m to the station – via no footpath route</w:t>
            </w:r>
          </w:p>
        </w:tc>
      </w:tr>
      <w:tr w:rsidR="00416C6F" w:rsidRPr="0053196F" w:rsidTr="00F33A88">
        <w:tc>
          <w:tcPr>
            <w:tcW w:w="2444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Other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tcBorders>
              <w:bottom w:val="single" w:sz="4" w:space="0" w:color="auto"/>
            </w:tcBorders>
            <w:shd w:val="clear" w:color="auto" w:fill="auto"/>
          </w:tcPr>
          <w:p w:rsidR="00416C6F" w:rsidRPr="0053196F" w:rsidRDefault="004552A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Listed building to the north</w:t>
            </w:r>
          </w:p>
        </w:tc>
      </w:tr>
      <w:tr w:rsidR="00416C6F" w:rsidRPr="0053196F" w:rsidTr="00F33A88">
        <w:tc>
          <w:tcPr>
            <w:tcW w:w="2444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Can</w:t>
            </w:r>
            <w:r w:rsidRPr="0053196F">
              <w:rPr>
                <w:color w:val="FFFFFF"/>
                <w:sz w:val="24"/>
                <w:szCs w:val="24"/>
              </w:rPr>
              <w:t xml:space="preserve"> </w:t>
            </w:r>
            <w:r w:rsidR="00C76945">
              <w:rPr>
                <w:color w:val="FFFFFF"/>
                <w:sz w:val="24"/>
                <w:szCs w:val="24"/>
              </w:rPr>
              <w:t>any</w:t>
            </w:r>
            <w:r w:rsidRPr="0053196F">
              <w:rPr>
                <w:color w:val="FFFFFF"/>
                <w:sz w:val="24"/>
                <w:szCs w:val="24"/>
              </w:rPr>
              <w:t xml:space="preserve"> constraints be overcome?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907" w:type="dxa"/>
            <w:tcBorders>
              <w:bottom w:val="single" w:sz="4" w:space="0" w:color="auto"/>
            </w:tcBorders>
            <w:shd w:val="clear" w:color="auto" w:fill="auto"/>
          </w:tcPr>
          <w:p w:rsidR="00416C6F" w:rsidRPr="0053196F" w:rsidRDefault="00FB3261" w:rsidP="00214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Yes, although land for sufficient parking and garden needs to be demonstrated</w:t>
            </w:r>
            <w:r w:rsidR="00E27B7F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F33A88">
        <w:trPr>
          <w:trHeight w:val="229"/>
        </w:trPr>
        <w:tc>
          <w:tcPr>
            <w:tcW w:w="2444" w:type="dxa"/>
            <w:shd w:val="clear" w:color="auto" w:fill="56008C"/>
          </w:tcPr>
          <w:p w:rsidR="00416C6F" w:rsidRPr="0053196F" w:rsidRDefault="00C76945" w:rsidP="00C76945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Approx. </w:t>
            </w:r>
            <w:r w:rsidR="00416C6F" w:rsidRPr="0053196F">
              <w:rPr>
                <w:color w:val="FFFFFF"/>
                <w:sz w:val="24"/>
                <w:szCs w:val="24"/>
              </w:rPr>
              <w:t xml:space="preserve">Capacity of site taking into account any constraints </w:t>
            </w:r>
          </w:p>
        </w:tc>
        <w:tc>
          <w:tcPr>
            <w:tcW w:w="6907" w:type="dxa"/>
            <w:shd w:val="clear" w:color="auto" w:fill="auto"/>
          </w:tcPr>
          <w:p w:rsidR="00416C6F" w:rsidRPr="0053196F" w:rsidRDefault="00FB3261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111</w:t>
            </w:r>
          </w:p>
        </w:tc>
      </w:tr>
      <w:tr w:rsidR="00C76945" w:rsidRPr="00C76945" w:rsidTr="00F33A88">
        <w:trPr>
          <w:trHeight w:val="2034"/>
        </w:trPr>
        <w:tc>
          <w:tcPr>
            <w:tcW w:w="2444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6907" w:type="dxa"/>
            <w:shd w:val="clear" w:color="auto" w:fill="FFFFFF" w:themeFill="background1"/>
          </w:tcPr>
          <w:p w:rsidR="00C76945" w:rsidRPr="00E27B7F" w:rsidRDefault="004552AA" w:rsidP="00455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Due to the minor size of the site which is an existing building, the </w:t>
            </w:r>
            <w:r w:rsidR="00FB3261">
              <w:rPr>
                <w:sz w:val="24"/>
                <w:szCs w:val="24"/>
              </w:rPr>
              <w:t>land does not merit inclusion as a strategic allocation due to its low yield and therefore is matter to be dealt wi</w:t>
            </w:r>
            <w:r>
              <w:rPr>
                <w:sz w:val="24"/>
                <w:szCs w:val="24"/>
              </w:rPr>
              <w:t>th through the planning process if considered appropriate</w:t>
            </w:r>
            <w:r w:rsidR="00F33A88">
              <w:rPr>
                <w:sz w:val="24"/>
                <w:szCs w:val="24"/>
              </w:rPr>
              <w:t xml:space="preserve">. </w:t>
            </w:r>
            <w:proofErr w:type="spellStart"/>
            <w:r w:rsidR="00F33A88">
              <w:rPr>
                <w:sz w:val="24"/>
                <w:szCs w:val="24"/>
              </w:rPr>
              <w:t>Altenratively</w:t>
            </w:r>
            <w:proofErr w:type="spellEnd"/>
            <w:r w:rsidR="00F33A88">
              <w:rPr>
                <w:sz w:val="24"/>
                <w:szCs w:val="24"/>
              </w:rPr>
              <w:t xml:space="preserve"> can be considered in relation to site no.34 and no.18</w:t>
            </w:r>
          </w:p>
        </w:tc>
      </w:tr>
      <w:tr w:rsidR="00F33A88" w:rsidRPr="00C76945" w:rsidTr="00CE2DEE">
        <w:trPr>
          <w:trHeight w:val="1704"/>
        </w:trPr>
        <w:tc>
          <w:tcPr>
            <w:tcW w:w="2444" w:type="dxa"/>
            <w:shd w:val="clear" w:color="auto" w:fill="7030A0"/>
          </w:tcPr>
          <w:p w:rsidR="00F33A88" w:rsidRDefault="00F33A88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6907" w:type="dxa"/>
            <w:shd w:val="clear" w:color="auto" w:fill="FFFFFF" w:themeFill="background1"/>
          </w:tcPr>
          <w:p w:rsidR="00F33A88" w:rsidRDefault="00F33A88" w:rsidP="004552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Due to the minor size of the site, should not be considered as a strategic allocation</w:t>
            </w:r>
          </w:p>
        </w:tc>
      </w:tr>
    </w:tbl>
    <w:p w:rsidR="009475ED" w:rsidRDefault="00CE2DEE">
      <w:bookmarkStart w:id="0" w:name="_GoBack"/>
      <w:bookmarkEnd w:id="0"/>
    </w:p>
    <w:sectPr w:rsidR="00947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6F"/>
    <w:rsid w:val="001B013A"/>
    <w:rsid w:val="0020049A"/>
    <w:rsid w:val="00214109"/>
    <w:rsid w:val="003819D3"/>
    <w:rsid w:val="00416C6F"/>
    <w:rsid w:val="004552AA"/>
    <w:rsid w:val="004D4A33"/>
    <w:rsid w:val="006C6D9D"/>
    <w:rsid w:val="007A613D"/>
    <w:rsid w:val="008E3A10"/>
    <w:rsid w:val="00925C09"/>
    <w:rsid w:val="009706DE"/>
    <w:rsid w:val="00A82F2A"/>
    <w:rsid w:val="00C76945"/>
    <w:rsid w:val="00CE2DEE"/>
    <w:rsid w:val="00D963ED"/>
    <w:rsid w:val="00E27B7F"/>
    <w:rsid w:val="00E816BF"/>
    <w:rsid w:val="00F33A88"/>
    <w:rsid w:val="00FB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3100D-1096-434D-83CE-F727E4F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D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DEE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Wynn</dc:creator>
  <cp:keywords/>
  <dc:description/>
  <cp:lastModifiedBy>Ashley Wynn</cp:lastModifiedBy>
  <cp:revision>5</cp:revision>
  <cp:lastPrinted>2017-03-21T19:45:00Z</cp:lastPrinted>
  <dcterms:created xsi:type="dcterms:W3CDTF">2017-03-19T12:46:00Z</dcterms:created>
  <dcterms:modified xsi:type="dcterms:W3CDTF">2017-03-21T19:45:00Z</dcterms:modified>
</cp:coreProperties>
</file>