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7318"/>
      </w:tblGrid>
      <w:tr w:rsidR="00416C6F" w:rsidRPr="0053196F" w:rsidTr="00325CEF">
        <w:tc>
          <w:tcPr>
            <w:tcW w:w="977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325CE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318" w:type="dxa"/>
            <w:shd w:val="clear" w:color="auto" w:fill="auto"/>
          </w:tcPr>
          <w:p w:rsidR="00416C6F" w:rsidRPr="0053196F" w:rsidRDefault="00C74A62" w:rsidP="00707C88">
            <w:pPr>
              <w:rPr>
                <w:sz w:val="24"/>
                <w:szCs w:val="24"/>
              </w:rPr>
            </w:pPr>
            <w:r>
              <w:rPr>
                <w:sz w:val="24"/>
                <w:szCs w:val="24"/>
              </w:rPr>
              <w:t>No. 20</w:t>
            </w:r>
            <w:r w:rsidR="00151ED0">
              <w:rPr>
                <w:sz w:val="24"/>
                <w:szCs w:val="24"/>
              </w:rPr>
              <w:t>,</w:t>
            </w:r>
            <w:r w:rsidR="00CC5DFE">
              <w:rPr>
                <w:sz w:val="24"/>
                <w:szCs w:val="24"/>
              </w:rPr>
              <w:t xml:space="preserve"> Land NW of </w:t>
            </w:r>
            <w:proofErr w:type="spellStart"/>
            <w:r w:rsidR="00CC5DFE">
              <w:rPr>
                <w:sz w:val="24"/>
                <w:szCs w:val="24"/>
              </w:rPr>
              <w:t>Sampsons</w:t>
            </w:r>
            <w:proofErr w:type="spellEnd"/>
            <w:r w:rsidR="00CC5DFE">
              <w:rPr>
                <w:sz w:val="24"/>
                <w:szCs w:val="24"/>
              </w:rPr>
              <w:t xml:space="preserve"> Lane</w:t>
            </w:r>
            <w:r w:rsidR="00F06A15">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325CE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7318" w:type="dxa"/>
            <w:shd w:val="clear" w:color="auto" w:fill="auto"/>
          </w:tcPr>
          <w:p w:rsidR="00416C6F" w:rsidRPr="0053196F" w:rsidRDefault="00416C6F" w:rsidP="00707C88">
            <w:pPr>
              <w:rPr>
                <w:sz w:val="24"/>
                <w:szCs w:val="24"/>
              </w:rPr>
            </w:pPr>
          </w:p>
        </w:tc>
      </w:tr>
      <w:tr w:rsidR="00416C6F" w:rsidRPr="0053196F" w:rsidTr="00325CEF">
        <w:trPr>
          <w:trHeight w:val="367"/>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7318" w:type="dxa"/>
            <w:shd w:val="clear" w:color="auto" w:fill="auto"/>
          </w:tcPr>
          <w:p w:rsidR="00416C6F" w:rsidRPr="0053196F" w:rsidRDefault="00774A6F" w:rsidP="00707C88">
            <w:pPr>
              <w:rPr>
                <w:sz w:val="24"/>
                <w:szCs w:val="24"/>
              </w:rPr>
            </w:pPr>
            <w:r>
              <w:rPr>
                <w:sz w:val="24"/>
                <w:szCs w:val="24"/>
              </w:rPr>
              <w:t xml:space="preserve">Agricultural </w:t>
            </w:r>
          </w:p>
        </w:tc>
      </w:tr>
      <w:tr w:rsidR="00416C6F" w:rsidRPr="0053196F" w:rsidTr="00325CE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7318" w:type="dxa"/>
            <w:shd w:val="clear" w:color="auto" w:fill="auto"/>
          </w:tcPr>
          <w:p w:rsidR="00416C6F" w:rsidRPr="0053196F" w:rsidRDefault="003819D3" w:rsidP="00212AF1">
            <w:pPr>
              <w:rPr>
                <w:sz w:val="24"/>
                <w:szCs w:val="24"/>
              </w:rPr>
            </w:pPr>
            <w:r>
              <w:rPr>
                <w:sz w:val="24"/>
                <w:szCs w:val="24"/>
              </w:rPr>
              <w:t>Housing</w:t>
            </w:r>
          </w:p>
        </w:tc>
      </w:tr>
      <w:tr w:rsidR="00416C6F" w:rsidRPr="0053196F" w:rsidTr="00325CEF">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7318" w:type="dxa"/>
            <w:shd w:val="clear" w:color="auto" w:fill="auto"/>
          </w:tcPr>
          <w:p w:rsidR="00416C6F" w:rsidRPr="0053196F" w:rsidRDefault="001D139F" w:rsidP="00707C88">
            <w:pPr>
              <w:rPr>
                <w:sz w:val="24"/>
                <w:szCs w:val="24"/>
              </w:rPr>
            </w:pPr>
            <w:r>
              <w:rPr>
                <w:sz w:val="24"/>
                <w:szCs w:val="24"/>
              </w:rPr>
              <w:t>None – proposed by third parties</w:t>
            </w:r>
          </w:p>
        </w:tc>
      </w:tr>
      <w:tr w:rsidR="00416C6F" w:rsidRPr="0053196F" w:rsidTr="00325CEF">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7318" w:type="dxa"/>
            <w:shd w:val="clear" w:color="auto" w:fill="auto"/>
          </w:tcPr>
          <w:p w:rsidR="003819D3" w:rsidRPr="003819D3" w:rsidRDefault="00F06A15" w:rsidP="003C578E">
            <w:pPr>
              <w:rPr>
                <w:sz w:val="24"/>
                <w:szCs w:val="24"/>
              </w:rPr>
            </w:pPr>
            <w:r>
              <w:rPr>
                <w:sz w:val="24"/>
                <w:szCs w:val="24"/>
              </w:rPr>
              <w:t>AONB</w:t>
            </w:r>
          </w:p>
        </w:tc>
      </w:tr>
      <w:tr w:rsidR="00416C6F" w:rsidRPr="0053196F" w:rsidTr="00325CE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31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325CEF">
        <w:trPr>
          <w:trHeight w:val="293"/>
        </w:trPr>
        <w:tc>
          <w:tcPr>
            <w:tcW w:w="977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325CEF">
        <w:trPr>
          <w:trHeight w:val="22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7318" w:type="dxa"/>
            <w:shd w:val="clear" w:color="auto" w:fill="auto"/>
          </w:tcPr>
          <w:p w:rsidR="00416C6F" w:rsidRPr="0053196F" w:rsidRDefault="00F06A15" w:rsidP="00291C61">
            <w:pPr>
              <w:rPr>
                <w:sz w:val="24"/>
                <w:szCs w:val="24"/>
              </w:rPr>
            </w:pPr>
            <w:r>
              <w:rPr>
                <w:sz w:val="24"/>
                <w:szCs w:val="24"/>
              </w:rPr>
              <w:t>In the AONB</w:t>
            </w:r>
            <w:r w:rsidR="009965AA">
              <w:rPr>
                <w:sz w:val="24"/>
                <w:szCs w:val="24"/>
              </w:rPr>
              <w:t xml:space="preserve">, and whilst there are a collection of buildings to the south, the land is considered to extend into open countryside </w:t>
            </w:r>
            <w:r w:rsidR="00325CEF">
              <w:rPr>
                <w:sz w:val="24"/>
                <w:szCs w:val="24"/>
              </w:rPr>
              <w:t xml:space="preserve">contrary to the settlement pattern and </w:t>
            </w:r>
            <w:r w:rsidR="009965AA">
              <w:rPr>
                <w:sz w:val="24"/>
                <w:szCs w:val="24"/>
              </w:rPr>
              <w:t>which would be visible from</w:t>
            </w:r>
            <w:r w:rsidR="00C74A62">
              <w:rPr>
                <w:sz w:val="24"/>
                <w:szCs w:val="24"/>
              </w:rPr>
              <w:t xml:space="preserve"> the 1066 route which runs NW-SE</w:t>
            </w:r>
            <w:r w:rsidR="009965AA">
              <w:rPr>
                <w:sz w:val="24"/>
                <w:szCs w:val="24"/>
              </w:rPr>
              <w:t xml:space="preserve"> adjacent to the land. The land slopes to the east and has a number boundary he</w:t>
            </w:r>
            <w:r w:rsidR="00693926">
              <w:rPr>
                <w:sz w:val="24"/>
                <w:szCs w:val="24"/>
              </w:rPr>
              <w:t>d</w:t>
            </w:r>
            <w:r w:rsidR="002513A1">
              <w:rPr>
                <w:sz w:val="24"/>
                <w:szCs w:val="24"/>
              </w:rPr>
              <w:t xml:space="preserve">gerows/trees which does limit impact but overall would </w:t>
            </w:r>
            <w:r w:rsidR="00291C61">
              <w:rPr>
                <w:sz w:val="24"/>
                <w:szCs w:val="24"/>
              </w:rPr>
              <w:t>cause</w:t>
            </w:r>
            <w:r w:rsidR="002513A1">
              <w:rPr>
                <w:sz w:val="24"/>
                <w:szCs w:val="24"/>
              </w:rPr>
              <w:t xml:space="preserve"> landscape</w:t>
            </w:r>
            <w:r w:rsidR="00291C61">
              <w:rPr>
                <w:sz w:val="24"/>
                <w:szCs w:val="24"/>
              </w:rPr>
              <w:t xml:space="preserve"> harm</w:t>
            </w:r>
            <w:r w:rsidR="002513A1">
              <w:rPr>
                <w:sz w:val="24"/>
                <w:szCs w:val="24"/>
              </w:rPr>
              <w:t>. The site lies within the Rother character area which has low capacity for new development.</w:t>
            </w:r>
            <w:r w:rsidR="00C74A62">
              <w:rPr>
                <w:sz w:val="24"/>
                <w:szCs w:val="24"/>
              </w:rPr>
              <w:t xml:space="preserve"> </w:t>
            </w:r>
          </w:p>
        </w:tc>
      </w:tr>
      <w:tr w:rsidR="00D963ED" w:rsidRPr="0053196F" w:rsidTr="00325CEF">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7318" w:type="dxa"/>
            <w:shd w:val="clear" w:color="auto" w:fill="auto"/>
          </w:tcPr>
          <w:p w:rsidR="00D963ED" w:rsidRPr="0053196F" w:rsidRDefault="00AF22D4" w:rsidP="00693926">
            <w:pPr>
              <w:rPr>
                <w:sz w:val="24"/>
                <w:szCs w:val="24"/>
              </w:rPr>
            </w:pPr>
            <w:r>
              <w:rPr>
                <w:sz w:val="24"/>
                <w:szCs w:val="24"/>
              </w:rPr>
              <w:t xml:space="preserve">Agricultural to </w:t>
            </w:r>
            <w:r w:rsidR="00C74A62">
              <w:rPr>
                <w:sz w:val="24"/>
                <w:szCs w:val="24"/>
              </w:rPr>
              <w:t>north west</w:t>
            </w:r>
            <w:r w:rsidR="00693926">
              <w:rPr>
                <w:sz w:val="24"/>
                <w:szCs w:val="24"/>
              </w:rPr>
              <w:t xml:space="preserve"> residential development to the west and scattered housing to south and east including </w:t>
            </w:r>
            <w:proofErr w:type="spellStart"/>
            <w:r w:rsidR="00693926">
              <w:rPr>
                <w:sz w:val="24"/>
                <w:szCs w:val="24"/>
              </w:rPr>
              <w:t>Sampsons</w:t>
            </w:r>
            <w:proofErr w:type="spellEnd"/>
            <w:r w:rsidR="00693926">
              <w:rPr>
                <w:sz w:val="24"/>
                <w:szCs w:val="24"/>
              </w:rPr>
              <w:t xml:space="preserve"> Farmhouse which is listed</w:t>
            </w:r>
          </w:p>
        </w:tc>
      </w:tr>
      <w:tr w:rsidR="00C76945" w:rsidRPr="0053196F" w:rsidTr="00325CEF">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7318" w:type="dxa"/>
            <w:shd w:val="clear" w:color="auto" w:fill="auto"/>
          </w:tcPr>
          <w:p w:rsidR="00DD7712" w:rsidRPr="0053196F" w:rsidRDefault="00774A6F" w:rsidP="007B7E73">
            <w:pPr>
              <w:rPr>
                <w:sz w:val="24"/>
                <w:szCs w:val="24"/>
              </w:rPr>
            </w:pPr>
            <w:r>
              <w:rPr>
                <w:sz w:val="24"/>
                <w:szCs w:val="24"/>
              </w:rPr>
              <w:t>Hedgerows and trees to the boundary and grassland</w:t>
            </w:r>
            <w:r w:rsidR="007B7E73">
              <w:rPr>
                <w:sz w:val="24"/>
                <w:szCs w:val="24"/>
              </w:rPr>
              <w:t>, ponds in local area</w:t>
            </w:r>
            <w:r w:rsidR="002513A1">
              <w:rPr>
                <w:sz w:val="24"/>
                <w:szCs w:val="24"/>
              </w:rPr>
              <w:t>.</w:t>
            </w:r>
          </w:p>
        </w:tc>
      </w:tr>
      <w:tr w:rsidR="00416C6F" w:rsidRPr="0053196F" w:rsidTr="00325CEF">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7318" w:type="dxa"/>
            <w:shd w:val="clear" w:color="auto" w:fill="auto"/>
          </w:tcPr>
          <w:p w:rsidR="007B7E73" w:rsidRPr="0053196F" w:rsidRDefault="00693926" w:rsidP="00C74A62">
            <w:pPr>
              <w:rPr>
                <w:sz w:val="24"/>
                <w:szCs w:val="24"/>
              </w:rPr>
            </w:pPr>
            <w:r>
              <w:rPr>
                <w:sz w:val="24"/>
                <w:szCs w:val="24"/>
              </w:rPr>
              <w:t xml:space="preserve">Narrow lane access which does not appear suitable for access to serve new development bearing in mind fire and refuse access </w:t>
            </w:r>
            <w:r w:rsidR="00C74A62">
              <w:rPr>
                <w:sz w:val="24"/>
                <w:szCs w:val="24"/>
              </w:rPr>
              <w:t>standards</w:t>
            </w:r>
            <w:r>
              <w:rPr>
                <w:sz w:val="24"/>
                <w:szCs w:val="24"/>
              </w:rPr>
              <w:t>. Also unclear of access</w:t>
            </w:r>
            <w:r w:rsidR="00C74A62">
              <w:rPr>
                <w:sz w:val="24"/>
                <w:szCs w:val="24"/>
              </w:rPr>
              <w:t xml:space="preserve"> to</w:t>
            </w:r>
            <w:r>
              <w:rPr>
                <w:sz w:val="24"/>
                <w:szCs w:val="24"/>
              </w:rPr>
              <w:t xml:space="preserve"> site and whether there is any third party land to cross. Access to village</w:t>
            </w:r>
            <w:r w:rsidR="00C74A62">
              <w:rPr>
                <w:sz w:val="24"/>
                <w:szCs w:val="24"/>
              </w:rPr>
              <w:t xml:space="preserve"> facilities</w:t>
            </w:r>
            <w:r>
              <w:rPr>
                <w:sz w:val="24"/>
                <w:szCs w:val="24"/>
              </w:rPr>
              <w:t xml:space="preserve"> is adequate </w:t>
            </w:r>
          </w:p>
        </w:tc>
      </w:tr>
      <w:tr w:rsidR="00416C6F" w:rsidRPr="0053196F" w:rsidTr="00325CEF">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7318" w:type="dxa"/>
            <w:shd w:val="clear" w:color="auto" w:fill="auto"/>
          </w:tcPr>
          <w:p w:rsidR="00416C6F" w:rsidRDefault="00925C09" w:rsidP="00707C88">
            <w:pPr>
              <w:rPr>
                <w:sz w:val="24"/>
                <w:szCs w:val="24"/>
              </w:rPr>
            </w:pPr>
            <w:r>
              <w:rPr>
                <w:sz w:val="24"/>
                <w:szCs w:val="24"/>
              </w:rPr>
              <w:t>Flood Zone 1- low risk of flooding</w:t>
            </w:r>
            <w:r w:rsidR="00693926">
              <w:rPr>
                <w:sz w:val="24"/>
                <w:szCs w:val="24"/>
              </w:rPr>
              <w:t xml:space="preserve"> although </w:t>
            </w:r>
            <w:r w:rsidR="002513A1">
              <w:rPr>
                <w:sz w:val="24"/>
                <w:szCs w:val="24"/>
              </w:rPr>
              <w:t>Flood Zone abuts the western boundary. SNCI lies to the east</w:t>
            </w:r>
          </w:p>
          <w:p w:rsidR="00C74A62" w:rsidRPr="0053196F" w:rsidRDefault="00C74A62" w:rsidP="00707C88">
            <w:pPr>
              <w:rPr>
                <w:sz w:val="24"/>
                <w:szCs w:val="24"/>
              </w:rPr>
            </w:pPr>
            <w:r>
              <w:rPr>
                <w:sz w:val="24"/>
                <w:szCs w:val="24"/>
              </w:rPr>
              <w:t>Provision of SUDS</w:t>
            </w:r>
          </w:p>
        </w:tc>
      </w:tr>
      <w:tr w:rsidR="00416C6F" w:rsidRPr="0053196F" w:rsidTr="00325CEF">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7318" w:type="dxa"/>
            <w:shd w:val="clear" w:color="auto" w:fill="auto"/>
          </w:tcPr>
          <w:p w:rsidR="00416C6F" w:rsidRDefault="003C578E" w:rsidP="00707C88">
            <w:pPr>
              <w:rPr>
                <w:sz w:val="24"/>
                <w:szCs w:val="24"/>
              </w:rPr>
            </w:pPr>
            <w:r>
              <w:rPr>
                <w:sz w:val="24"/>
                <w:szCs w:val="24"/>
              </w:rPr>
              <w:t>Distance from school/church</w:t>
            </w:r>
            <w:r w:rsidR="00212AF1">
              <w:rPr>
                <w:sz w:val="24"/>
                <w:szCs w:val="24"/>
              </w:rPr>
              <w:t xml:space="preserve"> </w:t>
            </w:r>
            <w:r w:rsidR="002513A1">
              <w:rPr>
                <w:sz w:val="24"/>
                <w:szCs w:val="24"/>
              </w:rPr>
              <w:t>8</w:t>
            </w:r>
            <w:r w:rsidR="00623E1A">
              <w:rPr>
                <w:sz w:val="24"/>
                <w:szCs w:val="24"/>
              </w:rPr>
              <w:t>00</w:t>
            </w:r>
            <w:r w:rsidR="006F0A73">
              <w:rPr>
                <w:sz w:val="24"/>
                <w:szCs w:val="24"/>
              </w:rPr>
              <w:t xml:space="preserve">m </w:t>
            </w:r>
            <w:r w:rsidR="00166D9F">
              <w:rPr>
                <w:sz w:val="24"/>
                <w:szCs w:val="24"/>
              </w:rPr>
              <w:t>via</w:t>
            </w:r>
            <w:r w:rsidR="00212AF1">
              <w:rPr>
                <w:sz w:val="24"/>
                <w:szCs w:val="24"/>
              </w:rPr>
              <w:t xml:space="preserve"> </w:t>
            </w:r>
            <w:r w:rsidR="002513A1">
              <w:rPr>
                <w:sz w:val="24"/>
                <w:szCs w:val="24"/>
              </w:rPr>
              <w:t xml:space="preserve">1066 route </w:t>
            </w:r>
            <w:r w:rsidR="00212AF1">
              <w:rPr>
                <w:sz w:val="24"/>
                <w:szCs w:val="24"/>
              </w:rPr>
              <w:t>footpath</w:t>
            </w:r>
          </w:p>
          <w:p w:rsidR="00925C09" w:rsidRDefault="00925C09" w:rsidP="002513A1">
            <w:pPr>
              <w:rPr>
                <w:sz w:val="24"/>
                <w:szCs w:val="24"/>
              </w:rPr>
            </w:pPr>
            <w:r>
              <w:rPr>
                <w:sz w:val="24"/>
                <w:szCs w:val="24"/>
              </w:rPr>
              <w:t xml:space="preserve">Pub-Recreation ground </w:t>
            </w:r>
            <w:r w:rsidR="002513A1">
              <w:rPr>
                <w:sz w:val="24"/>
                <w:szCs w:val="24"/>
              </w:rPr>
              <w:t>2</w:t>
            </w:r>
            <w:r w:rsidR="00623E1A">
              <w:rPr>
                <w:sz w:val="24"/>
                <w:szCs w:val="24"/>
              </w:rPr>
              <w:t>0</w:t>
            </w:r>
            <w:r w:rsidR="00505867">
              <w:rPr>
                <w:sz w:val="24"/>
                <w:szCs w:val="24"/>
              </w:rPr>
              <w:t>m</w:t>
            </w:r>
            <w:r>
              <w:rPr>
                <w:sz w:val="24"/>
                <w:szCs w:val="24"/>
              </w:rPr>
              <w:t>–</w:t>
            </w:r>
            <w:r w:rsidR="002513A1">
              <w:rPr>
                <w:sz w:val="24"/>
                <w:szCs w:val="24"/>
              </w:rPr>
              <w:t>footpath</w:t>
            </w:r>
          </w:p>
          <w:p w:rsidR="00C74A62" w:rsidRPr="0053196F" w:rsidRDefault="00C74A62" w:rsidP="002513A1">
            <w:pPr>
              <w:rPr>
                <w:sz w:val="24"/>
                <w:szCs w:val="24"/>
              </w:rPr>
            </w:pPr>
            <w:r>
              <w:rPr>
                <w:sz w:val="24"/>
                <w:szCs w:val="24"/>
              </w:rPr>
              <w:t>1400m to station via 1066 route</w:t>
            </w:r>
          </w:p>
        </w:tc>
      </w:tr>
      <w:tr w:rsidR="00416C6F" w:rsidRPr="0053196F" w:rsidTr="00325CEF">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318" w:type="dxa"/>
            <w:tcBorders>
              <w:bottom w:val="single" w:sz="4" w:space="0" w:color="auto"/>
            </w:tcBorders>
            <w:shd w:val="clear" w:color="auto" w:fill="auto"/>
          </w:tcPr>
          <w:p w:rsidR="00DC7D89" w:rsidRPr="0053196F" w:rsidRDefault="007B7E73" w:rsidP="00902ABC">
            <w:pPr>
              <w:rPr>
                <w:sz w:val="24"/>
                <w:szCs w:val="24"/>
              </w:rPr>
            </w:pPr>
            <w:r>
              <w:rPr>
                <w:sz w:val="24"/>
                <w:szCs w:val="24"/>
              </w:rPr>
              <w:t xml:space="preserve">Setting </w:t>
            </w:r>
            <w:r w:rsidR="002513A1">
              <w:rPr>
                <w:sz w:val="24"/>
                <w:szCs w:val="24"/>
              </w:rPr>
              <w:t>of listed building to the east</w:t>
            </w:r>
          </w:p>
        </w:tc>
      </w:tr>
      <w:tr w:rsidR="00416C6F" w:rsidRPr="0053196F" w:rsidTr="00325CEF">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lastRenderedPageBreak/>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7318" w:type="dxa"/>
            <w:tcBorders>
              <w:bottom w:val="single" w:sz="4" w:space="0" w:color="auto"/>
            </w:tcBorders>
            <w:shd w:val="clear" w:color="auto" w:fill="auto"/>
          </w:tcPr>
          <w:p w:rsidR="00623E1A" w:rsidRDefault="00623E1A" w:rsidP="00214109">
            <w:pPr>
              <w:rPr>
                <w:sz w:val="24"/>
                <w:szCs w:val="24"/>
              </w:rPr>
            </w:pPr>
            <w:r>
              <w:rPr>
                <w:sz w:val="24"/>
                <w:szCs w:val="24"/>
              </w:rPr>
              <w:t>Access- unlikely at this stage and needs further investigation</w:t>
            </w:r>
          </w:p>
          <w:p w:rsidR="00325CEF" w:rsidRPr="0053196F" w:rsidRDefault="00325CEF" w:rsidP="00214109">
            <w:pPr>
              <w:rPr>
                <w:sz w:val="24"/>
                <w:szCs w:val="24"/>
              </w:rPr>
            </w:pPr>
            <w:r>
              <w:rPr>
                <w:sz w:val="24"/>
                <w:szCs w:val="24"/>
              </w:rPr>
              <w:t>Landscape- Subject to a landscape assessment and potentially landscape strategy may limit views over time</w:t>
            </w:r>
          </w:p>
        </w:tc>
      </w:tr>
      <w:tr w:rsidR="00902ABC" w:rsidRPr="0053196F" w:rsidTr="00325CEF">
        <w:tc>
          <w:tcPr>
            <w:tcW w:w="2458"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7318" w:type="dxa"/>
            <w:tcBorders>
              <w:bottom w:val="single" w:sz="4" w:space="0" w:color="auto"/>
            </w:tcBorders>
            <w:shd w:val="clear" w:color="auto" w:fill="auto"/>
          </w:tcPr>
          <w:p w:rsidR="00902ABC" w:rsidRDefault="00902ABC" w:rsidP="003C578E">
            <w:pPr>
              <w:rPr>
                <w:sz w:val="24"/>
                <w:szCs w:val="24"/>
              </w:rPr>
            </w:pPr>
            <w:r>
              <w:rPr>
                <w:sz w:val="24"/>
                <w:szCs w:val="24"/>
              </w:rPr>
              <w:t xml:space="preserve">Site </w:t>
            </w:r>
            <w:r w:rsidR="003C578E">
              <w:rPr>
                <w:sz w:val="24"/>
                <w:szCs w:val="24"/>
              </w:rPr>
              <w:t xml:space="preserve">not promoted by owner so not achievable </w:t>
            </w:r>
            <w:r w:rsidR="006D52DF">
              <w:rPr>
                <w:sz w:val="24"/>
                <w:szCs w:val="24"/>
              </w:rPr>
              <w:t xml:space="preserve">at this stage </w:t>
            </w:r>
          </w:p>
        </w:tc>
      </w:tr>
      <w:tr w:rsidR="00C76945" w:rsidRPr="00C76945" w:rsidTr="00325CEF">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7318" w:type="dxa"/>
            <w:shd w:val="clear" w:color="auto" w:fill="FFFFFF" w:themeFill="background1"/>
          </w:tcPr>
          <w:p w:rsidR="00C76945" w:rsidRPr="00E27B7F" w:rsidRDefault="002513A1" w:rsidP="002513A1">
            <w:pPr>
              <w:rPr>
                <w:sz w:val="24"/>
                <w:szCs w:val="24"/>
              </w:rPr>
            </w:pPr>
            <w:r>
              <w:rPr>
                <w:sz w:val="24"/>
                <w:szCs w:val="24"/>
              </w:rPr>
              <w:t>Whilst s</w:t>
            </w:r>
            <w:r w:rsidR="00166D9F">
              <w:rPr>
                <w:sz w:val="24"/>
                <w:szCs w:val="24"/>
              </w:rPr>
              <w:t xml:space="preserve">ite is </w:t>
            </w:r>
            <w:r w:rsidR="00623E1A">
              <w:rPr>
                <w:sz w:val="24"/>
                <w:szCs w:val="24"/>
              </w:rPr>
              <w:t xml:space="preserve">located </w:t>
            </w:r>
            <w:r>
              <w:rPr>
                <w:sz w:val="24"/>
                <w:szCs w:val="24"/>
              </w:rPr>
              <w:t xml:space="preserve">close to village amenities, the site extends into </w:t>
            </w:r>
            <w:r w:rsidR="007B7E73">
              <w:rPr>
                <w:sz w:val="24"/>
                <w:szCs w:val="24"/>
              </w:rPr>
              <w:t>open countryside location</w:t>
            </w:r>
            <w:r>
              <w:rPr>
                <w:sz w:val="24"/>
                <w:szCs w:val="24"/>
              </w:rPr>
              <w:t xml:space="preserve"> contrary to the prevailing settlement pattern. This would cause landscape harm and would be visible from the adjacent footpaths. Furthermore, the </w:t>
            </w:r>
            <w:r w:rsidR="002B57EF">
              <w:rPr>
                <w:sz w:val="24"/>
                <w:szCs w:val="24"/>
              </w:rPr>
              <w:t xml:space="preserve">standard of access to the </w:t>
            </w:r>
            <w:r>
              <w:rPr>
                <w:sz w:val="24"/>
                <w:szCs w:val="24"/>
              </w:rPr>
              <w:t>site is also below standard and unlikely to be acceptable. Furthermore, the site has not been promoted by the owner and there is intervening third party land for access and thus the delivery of the land is not known at this stage</w:t>
            </w:r>
            <w:r w:rsidR="002B57EF">
              <w:rPr>
                <w:sz w:val="24"/>
                <w:szCs w:val="24"/>
              </w:rPr>
              <w:t>.</w:t>
            </w:r>
          </w:p>
        </w:tc>
      </w:tr>
      <w:tr w:rsidR="00C74A62" w:rsidRPr="00C76945" w:rsidTr="00325CEF">
        <w:trPr>
          <w:trHeight w:val="948"/>
        </w:trPr>
        <w:tc>
          <w:tcPr>
            <w:tcW w:w="2458" w:type="dxa"/>
            <w:shd w:val="clear" w:color="auto" w:fill="7030A0"/>
          </w:tcPr>
          <w:p w:rsidR="00C74A62" w:rsidRDefault="00C74A62" w:rsidP="00707C88">
            <w:pPr>
              <w:rPr>
                <w:color w:val="FFFFFF" w:themeColor="background1"/>
                <w:sz w:val="24"/>
                <w:szCs w:val="24"/>
              </w:rPr>
            </w:pPr>
            <w:r>
              <w:rPr>
                <w:color w:val="FFFFFF" w:themeColor="background1"/>
                <w:sz w:val="24"/>
                <w:szCs w:val="24"/>
              </w:rPr>
              <w:t>Recommendation</w:t>
            </w:r>
          </w:p>
        </w:tc>
        <w:tc>
          <w:tcPr>
            <w:tcW w:w="7318" w:type="dxa"/>
            <w:shd w:val="clear" w:color="auto" w:fill="FFFFFF" w:themeFill="background1"/>
          </w:tcPr>
          <w:p w:rsidR="00C74A62" w:rsidRDefault="00C74A62" w:rsidP="002513A1">
            <w:pPr>
              <w:rPr>
                <w:sz w:val="24"/>
                <w:szCs w:val="24"/>
              </w:rPr>
            </w:pPr>
            <w:r>
              <w:rPr>
                <w:sz w:val="24"/>
                <w:szCs w:val="24"/>
              </w:rPr>
              <w:t>Whilst the site is relatively accessible to local facilities, the site would result in landscape harm and also the means of access is considered to be inadequate to serve the development. Furthermore, the land is not currently available</w:t>
            </w:r>
            <w:bookmarkStart w:id="0" w:name="_GoBack"/>
            <w:bookmarkEnd w:id="0"/>
            <w:r>
              <w:rPr>
                <w:sz w:val="24"/>
                <w:szCs w:val="24"/>
              </w:rPr>
              <w:t xml:space="preserve">. </w:t>
            </w:r>
          </w:p>
        </w:tc>
      </w:tr>
    </w:tbl>
    <w:p w:rsidR="009475ED" w:rsidRDefault="00291C61"/>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36B38"/>
    <w:rsid w:val="00151ED0"/>
    <w:rsid w:val="00166D9F"/>
    <w:rsid w:val="001B013A"/>
    <w:rsid w:val="001C7F6B"/>
    <w:rsid w:val="001D139F"/>
    <w:rsid w:val="0020049A"/>
    <w:rsid w:val="00212AF1"/>
    <w:rsid w:val="00214109"/>
    <w:rsid w:val="002513A1"/>
    <w:rsid w:val="00291C61"/>
    <w:rsid w:val="002B57EF"/>
    <w:rsid w:val="00325CEF"/>
    <w:rsid w:val="003819D3"/>
    <w:rsid w:val="003C578E"/>
    <w:rsid w:val="00416C6F"/>
    <w:rsid w:val="004844FE"/>
    <w:rsid w:val="004D4A33"/>
    <w:rsid w:val="00505867"/>
    <w:rsid w:val="005F19C2"/>
    <w:rsid w:val="005F2E06"/>
    <w:rsid w:val="00623E1A"/>
    <w:rsid w:val="00693926"/>
    <w:rsid w:val="006B6AF5"/>
    <w:rsid w:val="006C6D9D"/>
    <w:rsid w:val="006D52DF"/>
    <w:rsid w:val="006F0A73"/>
    <w:rsid w:val="00774A6F"/>
    <w:rsid w:val="007A613D"/>
    <w:rsid w:val="007B7E73"/>
    <w:rsid w:val="007F34DA"/>
    <w:rsid w:val="00801993"/>
    <w:rsid w:val="0083364A"/>
    <w:rsid w:val="008E3A10"/>
    <w:rsid w:val="00902ABC"/>
    <w:rsid w:val="00925C09"/>
    <w:rsid w:val="009706DE"/>
    <w:rsid w:val="00983909"/>
    <w:rsid w:val="009965AA"/>
    <w:rsid w:val="009E5CED"/>
    <w:rsid w:val="00A82F2A"/>
    <w:rsid w:val="00AF22D4"/>
    <w:rsid w:val="00B65A99"/>
    <w:rsid w:val="00C3391C"/>
    <w:rsid w:val="00C74A62"/>
    <w:rsid w:val="00C76945"/>
    <w:rsid w:val="00CC5DFE"/>
    <w:rsid w:val="00D963ED"/>
    <w:rsid w:val="00DC7D89"/>
    <w:rsid w:val="00DD7712"/>
    <w:rsid w:val="00E27B7F"/>
    <w:rsid w:val="00F06A15"/>
    <w:rsid w:val="00F35351"/>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8</cp:revision>
  <dcterms:created xsi:type="dcterms:W3CDTF">2017-03-18T16:15:00Z</dcterms:created>
  <dcterms:modified xsi:type="dcterms:W3CDTF">2017-03-21T21:13:00Z</dcterms:modified>
</cp:coreProperties>
</file>